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D4" w:rsidRDefault="002473D4" w:rsidP="002473D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KELSTON BOYS HIGH SCHOOL </w:t>
      </w:r>
      <w:proofErr w:type="gramStart"/>
      <w:r>
        <w:rPr>
          <w:b/>
        </w:rPr>
        <w:t>COMMERCE  DEPARTMENT</w:t>
      </w:r>
      <w:proofErr w:type="gramEnd"/>
    </w:p>
    <w:p w:rsidR="002473D4" w:rsidRDefault="002473D4" w:rsidP="002473D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object w:dxaOrig="3600" w:dyaOrig="2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39.75pt" o:ole="" fillcolor="window">
            <v:imagedata r:id="rId7" o:title=""/>
          </v:shape>
          <o:OLEObject Type="Embed" ProgID="MS_ClipArt_Gallery.2" ShapeID="_x0000_i1025" DrawAspect="Content" ObjectID="_1454421327" r:id="rId8"/>
        </w:object>
      </w:r>
    </w:p>
    <w:p w:rsidR="002473D4" w:rsidRDefault="002473D4" w:rsidP="002473D4">
      <w:pPr>
        <w:pStyle w:val="Caption"/>
        <w:pBdr>
          <w:left w:val="none" w:sz="0" w:space="0" w:color="auto"/>
          <w:right w:val="none" w:sz="0" w:space="0" w:color="auto"/>
        </w:pBdr>
        <w:ind w:left="0" w:right="0"/>
        <w:rPr>
          <w:sz w:val="32"/>
        </w:rPr>
      </w:pPr>
      <w:proofErr w:type="gramStart"/>
      <w:r>
        <w:rPr>
          <w:sz w:val="32"/>
        </w:rPr>
        <w:t>YEAR  13</w:t>
      </w:r>
      <w:proofErr w:type="gramEnd"/>
      <w:r>
        <w:rPr>
          <w:sz w:val="32"/>
        </w:rPr>
        <w:t xml:space="preserve">  ACCOUNTING  2014  </w:t>
      </w:r>
    </w:p>
    <w:p w:rsidR="002473D4" w:rsidRDefault="002473D4" w:rsidP="002473D4">
      <w:pPr>
        <w:jc w:val="right"/>
        <w:rPr>
          <w:b/>
        </w:rPr>
      </w:pPr>
    </w:p>
    <w:p w:rsidR="002473D4" w:rsidRDefault="002473D4" w:rsidP="002473D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STUDENT  COURSE</w:t>
      </w:r>
      <w:proofErr w:type="gramEnd"/>
      <w:r>
        <w:rPr>
          <w:b/>
          <w:sz w:val="28"/>
        </w:rPr>
        <w:t xml:space="preserve">  OUTLINE</w:t>
      </w:r>
    </w:p>
    <w:p w:rsidR="002473D4" w:rsidRDefault="002473D4" w:rsidP="002473D4"/>
    <w:p w:rsidR="002473D4" w:rsidRDefault="002473D4" w:rsidP="002473D4">
      <w:r>
        <w:t>The aim of this course is to provide stimulus and foundation to the study of Accounting at University and other tertiary institutions.</w:t>
      </w:r>
    </w:p>
    <w:p w:rsidR="002473D4" w:rsidRDefault="002473D4" w:rsidP="002473D4"/>
    <w:p w:rsidR="002473D4" w:rsidRDefault="002473D4" w:rsidP="002473D4">
      <w:r>
        <w:t>Students will normally have studied Level 2 Accounting.</w:t>
      </w:r>
    </w:p>
    <w:p w:rsidR="002473D4" w:rsidRDefault="002473D4" w:rsidP="002473D4"/>
    <w:p w:rsidR="002473D4" w:rsidRDefault="002473D4" w:rsidP="002473D4">
      <w:pPr>
        <w:tabs>
          <w:tab w:val="left" w:pos="2160"/>
          <w:tab w:val="left" w:pos="2880"/>
        </w:tabs>
        <w:rPr>
          <w:b/>
          <w:u w:val="single"/>
        </w:rPr>
      </w:pPr>
      <w:proofErr w:type="gramStart"/>
      <w:r>
        <w:rPr>
          <w:b/>
          <w:u w:val="single"/>
        </w:rPr>
        <w:t>THE  AIMS</w:t>
      </w:r>
      <w:proofErr w:type="gramEnd"/>
      <w:r>
        <w:rPr>
          <w:b/>
          <w:u w:val="single"/>
        </w:rPr>
        <w:t xml:space="preserve">  OF  THIS  COURSE  ARE  TO:</w:t>
      </w:r>
    </w:p>
    <w:p w:rsidR="002473D4" w:rsidRDefault="002473D4" w:rsidP="002473D4">
      <w:pPr>
        <w:tabs>
          <w:tab w:val="left" w:pos="216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tabs>
          <w:tab w:val="left" w:pos="2160"/>
          <w:tab w:val="left" w:pos="2880"/>
        </w:tabs>
      </w:pPr>
      <w:r>
        <w:t>Promote knowledge and understanding of accounting as a financial language for partnerships and companies which may be service, trading or manufacturing businesses.</w:t>
      </w:r>
    </w:p>
    <w:p w:rsidR="002473D4" w:rsidRDefault="002473D4" w:rsidP="002473D4">
      <w:pPr>
        <w:tabs>
          <w:tab w:val="left" w:pos="216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tabs>
          <w:tab w:val="left" w:pos="2160"/>
          <w:tab w:val="left" w:pos="2880"/>
        </w:tabs>
      </w:pPr>
      <w:r>
        <w:t>Apply financial knowledge and skills to practical situations.</w:t>
      </w:r>
    </w:p>
    <w:p w:rsidR="002473D4" w:rsidRDefault="002473D4" w:rsidP="002473D4">
      <w:pPr>
        <w:tabs>
          <w:tab w:val="left" w:pos="720"/>
          <w:tab w:val="left" w:pos="2880"/>
        </w:tabs>
        <w:ind w:left="720" w:hanging="720"/>
      </w:pPr>
    </w:p>
    <w:p w:rsidR="002473D4" w:rsidRDefault="002473D4" w:rsidP="002473D4">
      <w:pPr>
        <w:framePr w:w="3401" w:h="469" w:hSpace="180" w:wrap="around" w:vAnchor="text" w:hAnchor="page" w:x="1526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>LEARNING OBJECTIVES</w:t>
      </w:r>
    </w:p>
    <w:p w:rsidR="002473D4" w:rsidRDefault="002473D4" w:rsidP="002473D4">
      <w:pPr>
        <w:tabs>
          <w:tab w:val="left" w:pos="720"/>
          <w:tab w:val="left" w:pos="2880"/>
        </w:tabs>
      </w:pPr>
      <w:r>
        <w:t>To achieve these aims, students will within the contexts of partnerships and companies: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>Examine, understand and apply the assumptions on which accounting is based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>Process financial data into meaningful information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>Develop a knowledge and understanding of the systems and controls required to ensure financial data is processed accurately and efficiently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>Prepare financial reports, which meet user needs, and professional and legal requirements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>Analyse and interpret financial reports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>Make informed decisions based on financial and non-financial information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 xml:space="preserve">Develop skills in communication, numeracy, information, and problem-solving </w:t>
      </w:r>
    </w:p>
    <w:p w:rsidR="002473D4" w:rsidRDefault="002473D4" w:rsidP="002473D4">
      <w:pPr>
        <w:tabs>
          <w:tab w:val="left" w:pos="720"/>
          <w:tab w:val="left" w:pos="2880"/>
        </w:tabs>
        <w:rPr>
          <w:sz w:val="12"/>
          <w:szCs w:val="12"/>
        </w:rPr>
      </w:pPr>
    </w:p>
    <w:p w:rsidR="002473D4" w:rsidRDefault="002473D4" w:rsidP="002473D4">
      <w:pPr>
        <w:numPr>
          <w:ilvl w:val="0"/>
          <w:numId w:val="2"/>
        </w:numPr>
        <w:tabs>
          <w:tab w:val="left" w:pos="720"/>
          <w:tab w:val="left" w:pos="2880"/>
        </w:tabs>
      </w:pPr>
      <w:r>
        <w:t>Develop self-management and competitive, social and co-operative, and work and study skills</w:t>
      </w:r>
    </w:p>
    <w:p w:rsidR="002473D4" w:rsidRDefault="002473D4" w:rsidP="002473D4">
      <w:pPr>
        <w:tabs>
          <w:tab w:val="left" w:pos="720"/>
          <w:tab w:val="left" w:pos="2880"/>
        </w:tabs>
      </w:pPr>
    </w:p>
    <w:p w:rsidR="002473D4" w:rsidRDefault="002473D4" w:rsidP="002473D4">
      <w:pPr>
        <w:rPr>
          <w:b/>
          <w:u w:val="single"/>
        </w:rPr>
      </w:pPr>
    </w:p>
    <w:p w:rsidR="002473D4" w:rsidRDefault="002473D4" w:rsidP="002473D4">
      <w:pPr>
        <w:rPr>
          <w:b/>
        </w:rPr>
      </w:pPr>
      <w:r>
        <w:rPr>
          <w:b/>
          <w:u w:val="single"/>
        </w:rPr>
        <w:t>STATIONERY &amp; TEXTBOOKS</w:t>
      </w:r>
    </w:p>
    <w:p w:rsidR="002473D4" w:rsidRDefault="002473D4" w:rsidP="002473D4"/>
    <w:p w:rsidR="002473D4" w:rsidRDefault="002473D4" w:rsidP="002473D4">
      <w:r>
        <w:rPr>
          <w:b/>
          <w:i/>
        </w:rPr>
        <w:t>You will need:</w:t>
      </w:r>
      <w:r>
        <w:t xml:space="preserve">  </w:t>
      </w:r>
      <w:r>
        <w:tab/>
        <w:t>Pen, Ruler, and a Calculator</w:t>
      </w:r>
    </w:p>
    <w:p w:rsidR="002473D4" w:rsidRDefault="002473D4" w:rsidP="002473D4">
      <w:pPr>
        <w:ind w:left="1440" w:firstLine="720"/>
      </w:pPr>
      <w:r>
        <w:t xml:space="preserve">Level 3 Accounting Learning Workbook – </w:t>
      </w:r>
      <w:proofErr w:type="spellStart"/>
      <w:r>
        <w:t>Broerick</w:t>
      </w:r>
      <w:proofErr w:type="spellEnd"/>
      <w:r>
        <w:t xml:space="preserve">, </w:t>
      </w:r>
      <w:proofErr w:type="spellStart"/>
      <w:r>
        <w:t>Duston</w:t>
      </w:r>
      <w:proofErr w:type="spellEnd"/>
      <w:r>
        <w:t xml:space="preserve"> and </w:t>
      </w:r>
      <w:proofErr w:type="spellStart"/>
      <w:r>
        <w:t>Gray</w:t>
      </w:r>
      <w:proofErr w:type="spellEnd"/>
    </w:p>
    <w:p w:rsidR="002473D4" w:rsidRDefault="002473D4" w:rsidP="002473D4">
      <w:pPr>
        <w:ind w:left="1440" w:firstLine="720"/>
      </w:pPr>
      <w:r>
        <w:t xml:space="preserve">Refill and Ring binder </w:t>
      </w:r>
      <w:r>
        <w:rPr>
          <w:u w:val="single"/>
        </w:rPr>
        <w:t>or</w:t>
      </w:r>
      <w:r>
        <w:t xml:space="preserve"> 2B8 exercise book</w:t>
      </w:r>
    </w:p>
    <w:p w:rsidR="002473D4" w:rsidRDefault="002473D4" w:rsidP="002473D4">
      <w:pPr>
        <w:rPr>
          <w:b/>
          <w:u w:val="single"/>
        </w:rPr>
      </w:pPr>
    </w:p>
    <w:p w:rsidR="002473D4" w:rsidRDefault="002473D4" w:rsidP="002473D4">
      <w:r>
        <w:rPr>
          <w:b/>
          <w:u w:val="single"/>
        </w:rPr>
        <w:t>ASSESSMENT</w:t>
      </w:r>
    </w:p>
    <w:tbl>
      <w:tblPr>
        <w:tblW w:w="4667" w:type="pct"/>
        <w:jc w:val="center"/>
        <w:tblCellSpacing w:w="0" w:type="dxa"/>
        <w:tblInd w:w="-353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3"/>
        <w:gridCol w:w="6328"/>
        <w:gridCol w:w="1480"/>
      </w:tblGrid>
      <w:tr w:rsidR="002473D4" w:rsidTr="004404A4">
        <w:trPr>
          <w:tblCellSpacing w:w="0" w:type="dxa"/>
          <w:jc w:val="center"/>
        </w:trPr>
        <w:tc>
          <w:tcPr>
            <w:tcW w:w="10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3.1 AS 91404</w:t>
            </w:r>
          </w:p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External</w:t>
            </w:r>
          </w:p>
        </w:tc>
        <w:tc>
          <w:tcPr>
            <w:tcW w:w="3202" w:type="pct"/>
            <w:shd w:val="clear" w:color="auto" w:fill="auto"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 w:rsidRPr="00A45FBF">
              <w:rPr>
                <w:rFonts w:ascii="Arial" w:hAnsi="Arial" w:cs="Arial"/>
                <w:szCs w:val="24"/>
                <w:lang w:val="en-NZ" w:eastAsia="en-NZ"/>
              </w:rPr>
              <w:t>Demonstrate understanding of accounting concepts for a New Zealand reporting entity</w:t>
            </w:r>
          </w:p>
        </w:tc>
        <w:tc>
          <w:tcPr>
            <w:tcW w:w="7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>
              <w:rPr>
                <w:rFonts w:ascii="Arial" w:hAnsi="Arial" w:cs="Arial"/>
                <w:szCs w:val="24"/>
                <w:lang w:val="en-NZ" w:eastAsia="en-NZ"/>
              </w:rPr>
              <w:t>4 credits</w:t>
            </w:r>
          </w:p>
        </w:tc>
      </w:tr>
      <w:tr w:rsidR="002473D4" w:rsidTr="004404A4">
        <w:trPr>
          <w:tblCellSpacing w:w="0" w:type="dxa"/>
          <w:jc w:val="center"/>
        </w:trPr>
        <w:tc>
          <w:tcPr>
            <w:tcW w:w="10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3.2 AS 91405</w:t>
            </w:r>
          </w:p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Internal</w:t>
            </w:r>
          </w:p>
        </w:tc>
        <w:tc>
          <w:tcPr>
            <w:tcW w:w="3202" w:type="pct"/>
            <w:shd w:val="clear" w:color="auto" w:fill="auto"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 w:rsidRPr="00A45FBF">
              <w:rPr>
                <w:rFonts w:ascii="Arial" w:hAnsi="Arial" w:cs="Arial"/>
                <w:szCs w:val="24"/>
                <w:lang w:val="en-NZ" w:eastAsia="en-NZ"/>
              </w:rPr>
              <w:t>Demonstrate understanding of accounting for partnerships</w:t>
            </w:r>
          </w:p>
        </w:tc>
        <w:tc>
          <w:tcPr>
            <w:tcW w:w="7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>
              <w:rPr>
                <w:rFonts w:ascii="Arial" w:hAnsi="Arial" w:cs="Arial"/>
                <w:szCs w:val="24"/>
                <w:lang w:val="en-NZ" w:eastAsia="en-NZ"/>
              </w:rPr>
              <w:t>4 credits</w:t>
            </w:r>
          </w:p>
        </w:tc>
      </w:tr>
      <w:tr w:rsidR="002473D4" w:rsidTr="004404A4">
        <w:trPr>
          <w:tblCellSpacing w:w="0" w:type="dxa"/>
          <w:jc w:val="center"/>
        </w:trPr>
        <w:tc>
          <w:tcPr>
            <w:tcW w:w="10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3.3 AS 91406</w:t>
            </w:r>
          </w:p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External</w:t>
            </w:r>
          </w:p>
        </w:tc>
        <w:tc>
          <w:tcPr>
            <w:tcW w:w="3202" w:type="pct"/>
            <w:shd w:val="clear" w:color="auto" w:fill="auto"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 w:rsidRPr="00A45FBF">
              <w:rPr>
                <w:rFonts w:ascii="Arial" w:hAnsi="Arial" w:cs="Arial"/>
                <w:szCs w:val="24"/>
                <w:lang w:val="en-NZ" w:eastAsia="en-NZ"/>
              </w:rPr>
              <w:t>Demonstrate understanding of company financial statement preparation</w:t>
            </w:r>
          </w:p>
        </w:tc>
        <w:tc>
          <w:tcPr>
            <w:tcW w:w="7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>
              <w:rPr>
                <w:rFonts w:ascii="Arial" w:hAnsi="Arial" w:cs="Arial"/>
                <w:szCs w:val="24"/>
                <w:lang w:val="en-NZ" w:eastAsia="en-NZ"/>
              </w:rPr>
              <w:t>5 credits</w:t>
            </w:r>
          </w:p>
        </w:tc>
      </w:tr>
      <w:tr w:rsidR="002473D4" w:rsidTr="004404A4">
        <w:trPr>
          <w:tblCellSpacing w:w="0" w:type="dxa"/>
          <w:jc w:val="center"/>
        </w:trPr>
        <w:tc>
          <w:tcPr>
            <w:tcW w:w="10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3.4 AS 91407</w:t>
            </w:r>
          </w:p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Internal</w:t>
            </w:r>
          </w:p>
        </w:tc>
        <w:tc>
          <w:tcPr>
            <w:tcW w:w="3202" w:type="pct"/>
            <w:shd w:val="clear" w:color="auto" w:fill="auto"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 w:rsidRPr="00A45FBF">
              <w:rPr>
                <w:rFonts w:ascii="Arial" w:hAnsi="Arial" w:cs="Arial"/>
                <w:szCs w:val="24"/>
                <w:lang w:val="en-NZ" w:eastAsia="en-NZ"/>
              </w:rPr>
              <w:t>Prepare a report for an external user that interprets the annual report of a New Zealand reporting entity</w:t>
            </w:r>
          </w:p>
        </w:tc>
        <w:tc>
          <w:tcPr>
            <w:tcW w:w="7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>
              <w:rPr>
                <w:rFonts w:ascii="Arial" w:hAnsi="Arial" w:cs="Arial"/>
                <w:szCs w:val="24"/>
                <w:lang w:val="en-NZ" w:eastAsia="en-NZ"/>
              </w:rPr>
              <w:t>5 credits</w:t>
            </w:r>
          </w:p>
        </w:tc>
      </w:tr>
      <w:tr w:rsidR="002473D4" w:rsidTr="004404A4">
        <w:trPr>
          <w:tblCellSpacing w:w="0" w:type="dxa"/>
          <w:jc w:val="center"/>
        </w:trPr>
        <w:tc>
          <w:tcPr>
            <w:tcW w:w="10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3.5 AS 91408</w:t>
            </w:r>
          </w:p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External</w:t>
            </w:r>
          </w:p>
        </w:tc>
        <w:tc>
          <w:tcPr>
            <w:tcW w:w="3202" w:type="pct"/>
            <w:shd w:val="clear" w:color="auto" w:fill="auto"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 w:rsidRPr="00A45FBF">
              <w:rPr>
                <w:rFonts w:ascii="Arial" w:hAnsi="Arial" w:cs="Arial"/>
                <w:szCs w:val="24"/>
                <w:lang w:val="en-NZ" w:eastAsia="en-NZ"/>
              </w:rPr>
              <w:t>Demonstrate understanding of management accounting to inform decision-making</w:t>
            </w:r>
          </w:p>
        </w:tc>
        <w:tc>
          <w:tcPr>
            <w:tcW w:w="7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>
              <w:rPr>
                <w:rFonts w:ascii="Arial" w:hAnsi="Arial" w:cs="Arial"/>
                <w:szCs w:val="24"/>
                <w:lang w:val="en-NZ" w:eastAsia="en-NZ"/>
              </w:rPr>
              <w:t>4 credits</w:t>
            </w:r>
          </w:p>
        </w:tc>
      </w:tr>
      <w:tr w:rsidR="002473D4" w:rsidTr="004404A4">
        <w:trPr>
          <w:tblCellSpacing w:w="0" w:type="dxa"/>
          <w:jc w:val="center"/>
        </w:trPr>
        <w:tc>
          <w:tcPr>
            <w:tcW w:w="10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lastRenderedPageBreak/>
              <w:t>3.6 AS 91409</w:t>
            </w:r>
          </w:p>
          <w:p w:rsidR="002473D4" w:rsidRDefault="002473D4" w:rsidP="004404A4">
            <w:pPr>
              <w:ind w:left="84"/>
              <w:rPr>
                <w:rFonts w:ascii="Arial" w:hAnsi="Arial" w:cs="Arial"/>
                <w:color w:val="000080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000080"/>
                <w:szCs w:val="24"/>
                <w:lang w:val="en-NZ" w:eastAsia="en-NZ"/>
              </w:rPr>
              <w:t>Internal</w:t>
            </w:r>
          </w:p>
        </w:tc>
        <w:tc>
          <w:tcPr>
            <w:tcW w:w="3202" w:type="pct"/>
            <w:shd w:val="clear" w:color="auto" w:fill="auto"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 w:rsidRPr="00A45FBF">
              <w:rPr>
                <w:rFonts w:ascii="Arial" w:hAnsi="Arial" w:cs="Arial"/>
                <w:szCs w:val="24"/>
                <w:lang w:val="en-NZ" w:eastAsia="en-NZ"/>
              </w:rPr>
              <w:t>Demonstrate understanding of a job cost subsystem for an entity</w:t>
            </w:r>
          </w:p>
        </w:tc>
        <w:tc>
          <w:tcPr>
            <w:tcW w:w="749" w:type="pct"/>
            <w:shd w:val="clear" w:color="auto" w:fill="auto"/>
            <w:noWrap/>
          </w:tcPr>
          <w:p w:rsidR="002473D4" w:rsidRDefault="002473D4" w:rsidP="004404A4">
            <w:pPr>
              <w:ind w:left="84"/>
              <w:rPr>
                <w:rFonts w:ascii="Arial" w:hAnsi="Arial" w:cs="Arial"/>
                <w:szCs w:val="24"/>
                <w:lang w:val="en-NZ" w:eastAsia="en-NZ"/>
              </w:rPr>
            </w:pPr>
            <w:r>
              <w:rPr>
                <w:rFonts w:ascii="Arial" w:hAnsi="Arial" w:cs="Arial"/>
                <w:szCs w:val="24"/>
                <w:lang w:val="en-NZ" w:eastAsia="en-NZ"/>
              </w:rPr>
              <w:t>4 credits</w:t>
            </w:r>
          </w:p>
        </w:tc>
      </w:tr>
    </w:tbl>
    <w:p w:rsidR="002473D4" w:rsidRDefault="002473D4" w:rsidP="002473D4">
      <w:pPr>
        <w:pStyle w:val="Footer"/>
        <w:tabs>
          <w:tab w:val="left" w:pos="720"/>
        </w:tabs>
      </w:pPr>
      <w:r>
        <w:t>Students will do either 3.1 or 3.6</w:t>
      </w:r>
    </w:p>
    <w:p w:rsidR="002473D4" w:rsidRDefault="002473D4" w:rsidP="002473D4">
      <w:pPr>
        <w:pStyle w:val="Footer"/>
        <w:tabs>
          <w:tab w:val="left" w:pos="720"/>
        </w:tabs>
      </w:pPr>
    </w:p>
    <w:p w:rsidR="002473D4" w:rsidRDefault="002473D4" w:rsidP="002473D4">
      <w:pPr>
        <w:pStyle w:val="Footer"/>
        <w:tabs>
          <w:tab w:val="left" w:pos="720"/>
        </w:tabs>
      </w:pPr>
      <w:r>
        <w:t xml:space="preserve">For the external achievement standards candidates will be assessed by a 3-hour written examination.  </w:t>
      </w:r>
    </w:p>
    <w:p w:rsidR="002473D4" w:rsidRDefault="002473D4" w:rsidP="002473D4">
      <w:pPr>
        <w:rPr>
          <w:b/>
        </w:rPr>
      </w:pPr>
      <w:r>
        <w:rPr>
          <w:b/>
        </w:rPr>
        <w:t>2014 TOPIC ORDER AND SCHEDULE OF TESTS AND ASSIGNMENTS</w:t>
      </w: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76"/>
        <w:gridCol w:w="5612"/>
        <w:gridCol w:w="1560"/>
        <w:gridCol w:w="1842"/>
      </w:tblGrid>
      <w:tr w:rsidR="002473D4" w:rsidTr="004404A4">
        <w:trPr>
          <w:cantSplit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</w:p>
        </w:tc>
        <w:tc>
          <w:tcPr>
            <w:tcW w:w="5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TOPIC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Finish</w:t>
            </w:r>
          </w:p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 xml:space="preserve"> by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Test/</w:t>
            </w:r>
          </w:p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Assign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1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Preparation of Financial Statements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Feb 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 xml:space="preserve"> Assign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2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Partnerships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March 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Test /Assign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3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Companies – Income Statement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March 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Test x2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4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Companies – Equity Statement &amp; Balance Sheet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April 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Test x2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5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Companies -Cash Flow Statements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May 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Test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6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Analysis &amp; Interpretation for Entities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June 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</w:pP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7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 xml:space="preserve">Report </w:t>
            </w:r>
            <w:proofErr w:type="spellStart"/>
            <w:r>
              <w:t>Preperation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August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Assign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8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</w:pPr>
            <w:r>
              <w:t>Management Accounting and preparation of cash budget.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August 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Test or Assign</w:t>
            </w:r>
          </w:p>
        </w:tc>
      </w:tr>
      <w:tr w:rsidR="002473D4" w:rsidTr="004404A4">
        <w:trPr>
          <w:cantSplit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  <w:jc w:val="center"/>
            </w:pPr>
            <w:r>
              <w:t>9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Statement of Accounting  Concepts or Job Cost subsystem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 xml:space="preserve"> Sept 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73D4" w:rsidRDefault="002473D4" w:rsidP="004404A4">
            <w:pPr>
              <w:tabs>
                <w:tab w:val="left" w:pos="720"/>
                <w:tab w:val="left" w:pos="1080"/>
                <w:tab w:val="left" w:pos="2160"/>
                <w:tab w:val="left" w:pos="2880"/>
              </w:tabs>
              <w:ind w:left="2880" w:hanging="2880"/>
            </w:pPr>
            <w:r>
              <w:t>Test</w:t>
            </w:r>
          </w:p>
        </w:tc>
      </w:tr>
    </w:tbl>
    <w:p w:rsidR="002473D4" w:rsidRDefault="002473D4" w:rsidP="002473D4">
      <w:pPr>
        <w:tabs>
          <w:tab w:val="left" w:pos="720"/>
          <w:tab w:val="left" w:pos="1080"/>
          <w:tab w:val="left" w:pos="2160"/>
          <w:tab w:val="left" w:pos="2880"/>
        </w:tabs>
        <w:ind w:left="2880" w:hanging="2880"/>
      </w:pPr>
    </w:p>
    <w:p w:rsidR="002473D4" w:rsidRDefault="002473D4" w:rsidP="002473D4">
      <w:pPr>
        <w:tabs>
          <w:tab w:val="left" w:pos="720"/>
          <w:tab w:val="left" w:pos="1080"/>
          <w:tab w:val="left" w:pos="2160"/>
          <w:tab w:val="left" w:pos="2880"/>
        </w:tabs>
        <w:ind w:left="2880" w:hanging="2880"/>
      </w:pPr>
      <w:r>
        <w:t xml:space="preserve">Topics 3-5 will be included in the </w:t>
      </w:r>
      <w:proofErr w:type="spellStart"/>
      <w:r>
        <w:t>mid year</w:t>
      </w:r>
      <w:proofErr w:type="spellEnd"/>
      <w:r>
        <w:t xml:space="preserve"> exam.  June 3 – June 6</w:t>
      </w:r>
    </w:p>
    <w:p w:rsidR="002473D4" w:rsidRDefault="002473D4" w:rsidP="002473D4">
      <w:pPr>
        <w:tabs>
          <w:tab w:val="left" w:pos="720"/>
          <w:tab w:val="left" w:pos="1080"/>
          <w:tab w:val="left" w:pos="2160"/>
          <w:tab w:val="left" w:pos="2880"/>
        </w:tabs>
        <w:ind w:left="2880" w:hanging="2880"/>
      </w:pPr>
      <w:r>
        <w:t>Topics 3-5 and Topics 8 will be included in the end of year exam. 11 Sept – 17 Sept</w:t>
      </w:r>
    </w:p>
    <w:p w:rsidR="002473D4" w:rsidRDefault="002473D4" w:rsidP="002473D4">
      <w:pPr>
        <w:tabs>
          <w:tab w:val="left" w:pos="720"/>
          <w:tab w:val="left" w:pos="1080"/>
          <w:tab w:val="left" w:pos="2160"/>
          <w:tab w:val="left" w:pos="2880"/>
        </w:tabs>
        <w:ind w:left="2880" w:hanging="2880"/>
      </w:pPr>
    </w:p>
    <w:p w:rsidR="002473D4" w:rsidRDefault="002473D4" w:rsidP="002473D4">
      <w:pPr>
        <w:tabs>
          <w:tab w:val="left" w:pos="0"/>
          <w:tab w:val="left" w:pos="720"/>
          <w:tab w:val="left" w:pos="1080"/>
          <w:tab w:val="left" w:pos="2160"/>
        </w:tabs>
        <w:rPr>
          <w:b/>
        </w:rPr>
      </w:pPr>
      <w:proofErr w:type="gramStart"/>
      <w:r>
        <w:rPr>
          <w:b/>
        </w:rPr>
        <w:t>Note :</w:t>
      </w:r>
      <w:proofErr w:type="gramEnd"/>
      <w:r>
        <w:rPr>
          <w:b/>
        </w:rPr>
        <w:t xml:space="preserve"> If for some reason you do not sit the NCEA external exam your NECA grades will be based on your end of year exam.</w:t>
      </w:r>
    </w:p>
    <w:p w:rsidR="002473D4" w:rsidRDefault="002473D4" w:rsidP="002473D4">
      <w:pPr>
        <w:tabs>
          <w:tab w:val="left" w:pos="720"/>
          <w:tab w:val="left" w:pos="1080"/>
          <w:tab w:val="left" w:pos="2160"/>
          <w:tab w:val="left" w:pos="2880"/>
        </w:tabs>
        <w:ind w:left="2880" w:hanging="2880"/>
      </w:pPr>
    </w:p>
    <w:p w:rsidR="002473D4" w:rsidRDefault="002473D4" w:rsidP="002473D4">
      <w:r>
        <w:rPr>
          <w:b/>
          <w:u w:val="single"/>
        </w:rPr>
        <w:t>NECA Scholarship</w:t>
      </w:r>
    </w:p>
    <w:p w:rsidR="002473D4" w:rsidRDefault="002473D4" w:rsidP="002473D4">
      <w:pPr>
        <w:pStyle w:val="BodyText"/>
      </w:pPr>
      <w:r>
        <w:t>Selected students will also have the opportunity to sit the NCEA scholarship examination at the end of the year.  This examination requires a high standard of competence and commitment from the student.</w:t>
      </w:r>
    </w:p>
    <w:p w:rsidR="002473D4" w:rsidRDefault="002473D4" w:rsidP="002473D4">
      <w:pPr>
        <w:pStyle w:val="Heading3"/>
        <w:numPr>
          <w:ilvl w:val="0"/>
          <w:numId w:val="0"/>
        </w:numPr>
        <w:shd w:val="clear" w:color="auto" w:fill="F2F2F2"/>
        <w:spacing w:before="0" w:after="0" w:line="285" w:lineRule="atLeast"/>
        <w:textAlignment w:val="baseline"/>
        <w:rPr>
          <w:rFonts w:ascii="Times New Roman" w:hAnsi="Times New Roman"/>
          <w:b/>
        </w:rPr>
      </w:pPr>
    </w:p>
    <w:p w:rsidR="002473D4" w:rsidRDefault="002473D4" w:rsidP="002473D4">
      <w:pPr>
        <w:pStyle w:val="Heading3"/>
        <w:numPr>
          <w:ilvl w:val="0"/>
          <w:numId w:val="0"/>
        </w:numPr>
        <w:shd w:val="clear" w:color="auto" w:fill="F2F2F2"/>
        <w:spacing w:before="0" w:after="0" w:line="285" w:lineRule="atLeast"/>
        <w:textAlignment w:val="baseline"/>
        <w:rPr>
          <w:rFonts w:cs="Arial"/>
          <w:color w:val="404C58"/>
          <w:szCs w:val="24"/>
        </w:rPr>
      </w:pPr>
      <w:r>
        <w:rPr>
          <w:rFonts w:cs="Arial"/>
          <w:color w:val="404C58"/>
          <w:szCs w:val="24"/>
        </w:rPr>
        <w:t>Content / Context details</w:t>
      </w:r>
    </w:p>
    <w:p w:rsidR="002473D4" w:rsidRDefault="002473D4" w:rsidP="002473D4">
      <w:pPr>
        <w:pStyle w:val="NormalWeb"/>
        <w:shd w:val="clear" w:color="auto" w:fill="F2F2F2"/>
        <w:spacing w:before="0" w:beforeAutospacing="0" w:after="0" w:afterAutospacing="0" w:line="28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Questions will address the following:</w:t>
      </w:r>
    </w:p>
    <w:p w:rsidR="002473D4" w:rsidRDefault="002473D4" w:rsidP="002473D4">
      <w:pPr>
        <w:numPr>
          <w:ilvl w:val="0"/>
          <w:numId w:val="5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a combination of a statement of comprehensive income and/or statement of financial position and/or a statement of changes of equity and accompany notes for a company, prepared for external reporting purposes</w:t>
      </w:r>
    </w:p>
    <w:p w:rsidR="002473D4" w:rsidRDefault="002473D4" w:rsidP="002473D4">
      <w:pPr>
        <w:numPr>
          <w:ilvl w:val="0"/>
          <w:numId w:val="5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company-related issues</w:t>
      </w:r>
    </w:p>
    <w:p w:rsidR="002473D4" w:rsidRDefault="002473D4" w:rsidP="002473D4">
      <w:pPr>
        <w:numPr>
          <w:ilvl w:val="0"/>
          <w:numId w:val="5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the New Zealand Conceptual Framework for Financial Reporting or the</w:t>
      </w:r>
      <w:r>
        <w:rPr>
          <w:rStyle w:val="apple-converted-space"/>
          <w:rFonts w:ascii="Verdana" w:hAnsi="Verdana"/>
          <w:color w:val="333333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6425BF"/>
            <w:sz w:val="20"/>
            <w:bdr w:val="none" w:sz="0" w:space="0" w:color="auto" w:frame="1"/>
          </w:rPr>
          <w:t>Approved Accounting Standards Framework</w:t>
        </w:r>
      </w:hyperlink>
    </w:p>
    <w:p w:rsidR="002473D4" w:rsidRDefault="002473D4" w:rsidP="002473D4">
      <w:pPr>
        <w:numPr>
          <w:ilvl w:val="0"/>
          <w:numId w:val="5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the analysis and interpretation of financial information (Note: Formulae will not be provided)</w:t>
      </w:r>
    </w:p>
    <w:p w:rsidR="002473D4" w:rsidRDefault="002473D4" w:rsidP="002473D4">
      <w:pPr>
        <w:numPr>
          <w:ilvl w:val="0"/>
          <w:numId w:val="5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proofErr w:type="gramStart"/>
      <w:r>
        <w:rPr>
          <w:rFonts w:ascii="Verdana" w:hAnsi="Verdana"/>
          <w:color w:val="333333"/>
          <w:sz w:val="20"/>
        </w:rPr>
        <w:t>the</w:t>
      </w:r>
      <w:proofErr w:type="gramEnd"/>
      <w:r>
        <w:rPr>
          <w:rFonts w:ascii="Verdana" w:hAnsi="Verdana"/>
          <w:color w:val="333333"/>
          <w:sz w:val="20"/>
        </w:rPr>
        <w:t xml:space="preserve"> preparation and interpretation of accounting information for management decisions. </w:t>
      </w:r>
    </w:p>
    <w:p w:rsidR="002473D4" w:rsidRDefault="002473D4" w:rsidP="002473D4">
      <w:pPr>
        <w:pStyle w:val="Heading3"/>
        <w:numPr>
          <w:ilvl w:val="0"/>
          <w:numId w:val="0"/>
        </w:numPr>
        <w:shd w:val="clear" w:color="auto" w:fill="F2F2F2"/>
        <w:spacing w:before="0" w:after="0" w:line="285" w:lineRule="atLeast"/>
        <w:textAlignment w:val="baseline"/>
        <w:rPr>
          <w:rFonts w:ascii="Times New Roman" w:hAnsi="Times New Roman"/>
          <w:b/>
        </w:rPr>
      </w:pPr>
    </w:p>
    <w:p w:rsidR="002473D4" w:rsidRDefault="002473D4" w:rsidP="002473D4">
      <w:pPr>
        <w:pStyle w:val="Heading3"/>
        <w:numPr>
          <w:ilvl w:val="0"/>
          <w:numId w:val="0"/>
        </w:numPr>
        <w:shd w:val="clear" w:color="auto" w:fill="F2F2F2"/>
        <w:spacing w:before="0" w:after="0" w:line="285" w:lineRule="atLeast"/>
        <w:textAlignment w:val="baseline"/>
        <w:rPr>
          <w:rFonts w:cs="Arial"/>
          <w:color w:val="404C58"/>
          <w:szCs w:val="24"/>
        </w:rPr>
      </w:pPr>
      <w:r>
        <w:rPr>
          <w:rFonts w:cs="Arial"/>
          <w:color w:val="404C58"/>
          <w:szCs w:val="24"/>
        </w:rPr>
        <w:t>Special notes</w:t>
      </w:r>
    </w:p>
    <w:p w:rsidR="002473D4" w:rsidRDefault="002473D4" w:rsidP="002473D4">
      <w:pPr>
        <w:pStyle w:val="NormalWeb"/>
        <w:shd w:val="clear" w:color="auto" w:fill="F2F2F2"/>
        <w:spacing w:before="0" w:beforeAutospacing="0" w:after="0" w:afterAutospacing="0" w:line="285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Candidates should be familiar with the following:</w:t>
      </w:r>
    </w:p>
    <w:p w:rsidR="002473D4" w:rsidRDefault="002473D4" w:rsidP="002473D4">
      <w:pPr>
        <w:numPr>
          <w:ilvl w:val="0"/>
          <w:numId w:val="6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the</w:t>
      </w:r>
      <w:r>
        <w:rPr>
          <w:rStyle w:val="apple-converted-space"/>
          <w:rFonts w:ascii="Verdana" w:hAnsi="Verdana"/>
          <w:color w:val="333333"/>
          <w:sz w:val="20"/>
        </w:rPr>
        <w:t> </w:t>
      </w:r>
      <w:hyperlink r:id="rId10" w:history="1">
        <w:r>
          <w:rPr>
            <w:rStyle w:val="Hyperlink"/>
            <w:rFonts w:ascii="Verdana" w:hAnsi="Verdana"/>
            <w:color w:val="6425BF"/>
            <w:sz w:val="20"/>
            <w:bdr w:val="none" w:sz="0" w:space="0" w:color="auto" w:frame="1"/>
          </w:rPr>
          <w:t>updated Level 3 Accounting and Scholarship Appendix</w:t>
        </w:r>
      </w:hyperlink>
      <w:r>
        <w:rPr>
          <w:rStyle w:val="apple-converted-space"/>
          <w:rFonts w:ascii="Verdana" w:hAnsi="Verdana"/>
          <w:color w:val="333333"/>
          <w:sz w:val="20"/>
        </w:rPr>
        <w:t> </w:t>
      </w:r>
      <w:r>
        <w:rPr>
          <w:rFonts w:ascii="Verdana" w:hAnsi="Verdana"/>
          <w:color w:val="333333"/>
          <w:sz w:val="20"/>
        </w:rPr>
        <w:t>on TKI for use from 2013</w:t>
      </w:r>
    </w:p>
    <w:p w:rsidR="002473D4" w:rsidRDefault="002473D4" w:rsidP="002473D4">
      <w:pPr>
        <w:numPr>
          <w:ilvl w:val="0"/>
          <w:numId w:val="6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the New Zealand Equivalent to the IASB Framework for the Preparation and Presentation of Financial Statements,</w:t>
      </w:r>
    </w:p>
    <w:p w:rsidR="002473D4" w:rsidRDefault="002473D4" w:rsidP="002473D4">
      <w:pPr>
        <w:numPr>
          <w:ilvl w:val="0"/>
          <w:numId w:val="6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the New Zealand Equivalent to International Accounting Standard 1 – Presentation of Financial Statements (NZ IAS 1),</w:t>
      </w:r>
    </w:p>
    <w:p w:rsidR="002473D4" w:rsidRDefault="002473D4" w:rsidP="002473D4">
      <w:pPr>
        <w:numPr>
          <w:ilvl w:val="0"/>
          <w:numId w:val="6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r>
        <w:rPr>
          <w:rFonts w:ascii="Verdana" w:hAnsi="Verdana"/>
          <w:color w:val="333333"/>
          <w:sz w:val="20"/>
        </w:rPr>
        <w:t>a company annual report (to be identified in 2014)</w:t>
      </w:r>
    </w:p>
    <w:p w:rsidR="002473D4" w:rsidRDefault="002473D4" w:rsidP="002473D4">
      <w:pPr>
        <w:numPr>
          <w:ilvl w:val="0"/>
          <w:numId w:val="6"/>
        </w:numPr>
        <w:spacing w:line="285" w:lineRule="atLeast"/>
        <w:ind w:left="480"/>
        <w:textAlignment w:val="baseline"/>
        <w:rPr>
          <w:rFonts w:ascii="Verdana" w:hAnsi="Verdana"/>
          <w:color w:val="333333"/>
          <w:sz w:val="20"/>
        </w:rPr>
      </w:pPr>
      <w:proofErr w:type="gramStart"/>
      <w:r>
        <w:rPr>
          <w:rFonts w:ascii="Verdana" w:hAnsi="Verdana"/>
          <w:color w:val="333333"/>
          <w:sz w:val="20"/>
        </w:rPr>
        <w:t>reference</w:t>
      </w:r>
      <w:proofErr w:type="gramEnd"/>
      <w:r>
        <w:rPr>
          <w:rFonts w:ascii="Verdana" w:hAnsi="Verdana"/>
          <w:color w:val="333333"/>
          <w:sz w:val="20"/>
        </w:rPr>
        <w:t xml:space="preserve"> to a New Zealand Equivalent to International Financial Reporting Standard.</w:t>
      </w:r>
    </w:p>
    <w:p w:rsidR="00F83A9D" w:rsidRDefault="00F83A9D"/>
    <w:sectPr w:rsidR="00F83A9D" w:rsidSect="00247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11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F4376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EA5B62"/>
    <w:multiLevelType w:val="multilevel"/>
    <w:tmpl w:val="EFD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F07105"/>
    <w:multiLevelType w:val="hybridMultilevel"/>
    <w:tmpl w:val="238619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03B93"/>
    <w:multiLevelType w:val="singleLevel"/>
    <w:tmpl w:val="A31862D8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B1F27C9"/>
    <w:multiLevelType w:val="multilevel"/>
    <w:tmpl w:val="253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D4"/>
    <w:rsid w:val="00016D8A"/>
    <w:rsid w:val="002473D4"/>
    <w:rsid w:val="00C721A8"/>
    <w:rsid w:val="00F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D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73D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473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2473D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2473D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473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2473D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473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2473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2473D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3D4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473D4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473D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473D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473D4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473D4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473D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473D4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473D4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Footer">
    <w:name w:val="footer"/>
    <w:basedOn w:val="Normal"/>
    <w:link w:val="FooterChar"/>
    <w:rsid w:val="002473D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473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2473D4"/>
    <w:pPr>
      <w:pBdr>
        <w:left w:val="double" w:sz="6" w:space="31" w:color="auto"/>
        <w:right w:val="double" w:sz="6" w:space="31" w:color="auto"/>
      </w:pBdr>
      <w:ind w:left="2268" w:right="1274"/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rsid w:val="002473D4"/>
    <w:rPr>
      <w:b/>
    </w:rPr>
  </w:style>
  <w:style w:type="character" w:customStyle="1" w:styleId="BodyTextChar">
    <w:name w:val="Body Text Char"/>
    <w:basedOn w:val="DefaultParagraphFont"/>
    <w:link w:val="BodyText"/>
    <w:rsid w:val="002473D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473D4"/>
    <w:pPr>
      <w:spacing w:before="100" w:beforeAutospacing="1" w:after="100" w:afterAutospacing="1"/>
    </w:pPr>
    <w:rPr>
      <w:szCs w:val="24"/>
      <w:lang w:val="en-NZ" w:eastAsia="en-NZ"/>
    </w:rPr>
  </w:style>
  <w:style w:type="character" w:customStyle="1" w:styleId="apple-converted-space">
    <w:name w:val="apple-converted-space"/>
    <w:basedOn w:val="DefaultParagraphFont"/>
    <w:rsid w:val="002473D4"/>
  </w:style>
  <w:style w:type="character" w:styleId="Hyperlink">
    <w:name w:val="Hyperlink"/>
    <w:basedOn w:val="DefaultParagraphFont"/>
    <w:uiPriority w:val="99"/>
    <w:semiHidden/>
    <w:unhideWhenUsed/>
    <w:rsid w:val="00247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D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73D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473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2473D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2473D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473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2473D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473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2473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2473D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3D4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473D4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473D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473D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473D4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473D4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473D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473D4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473D4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Footer">
    <w:name w:val="footer"/>
    <w:basedOn w:val="Normal"/>
    <w:link w:val="FooterChar"/>
    <w:rsid w:val="002473D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473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2473D4"/>
    <w:pPr>
      <w:pBdr>
        <w:left w:val="double" w:sz="6" w:space="31" w:color="auto"/>
        <w:right w:val="double" w:sz="6" w:space="31" w:color="auto"/>
      </w:pBdr>
      <w:ind w:left="2268" w:right="1274"/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rsid w:val="002473D4"/>
    <w:rPr>
      <w:b/>
    </w:rPr>
  </w:style>
  <w:style w:type="character" w:customStyle="1" w:styleId="BodyTextChar">
    <w:name w:val="Body Text Char"/>
    <w:basedOn w:val="DefaultParagraphFont"/>
    <w:link w:val="BodyText"/>
    <w:rsid w:val="002473D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473D4"/>
    <w:pPr>
      <w:spacing w:before="100" w:beforeAutospacing="1" w:after="100" w:afterAutospacing="1"/>
    </w:pPr>
    <w:rPr>
      <w:szCs w:val="24"/>
      <w:lang w:val="en-NZ" w:eastAsia="en-NZ"/>
    </w:rPr>
  </w:style>
  <w:style w:type="character" w:customStyle="1" w:styleId="apple-converted-space">
    <w:name w:val="apple-converted-space"/>
    <w:basedOn w:val="DefaultParagraphFont"/>
    <w:rsid w:val="002473D4"/>
  </w:style>
  <w:style w:type="character" w:styleId="Hyperlink">
    <w:name w:val="Hyperlink"/>
    <w:basedOn w:val="DefaultParagraphFont"/>
    <w:uiPriority w:val="99"/>
    <w:semiHidden/>
    <w:unhideWhenUsed/>
    <w:rsid w:val="0024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cea.tki.org.nz/Resources-for-aligned-standards/Social-sciences/Accounting/Level-3-Accoun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rb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F81A-7CC3-4C6F-AFE7-AB5DE32B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Rutherford</dc:creator>
  <cp:lastModifiedBy>P Rutherford</cp:lastModifiedBy>
  <cp:revision>2</cp:revision>
  <dcterms:created xsi:type="dcterms:W3CDTF">2014-02-20T04:09:00Z</dcterms:created>
  <dcterms:modified xsi:type="dcterms:W3CDTF">2014-02-20T04:09:00Z</dcterms:modified>
</cp:coreProperties>
</file>