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16"/>
        <w:gridCol w:w="5393"/>
        <w:gridCol w:w="1150"/>
        <w:gridCol w:w="1483"/>
      </w:tblGrid>
      <w:tr w:rsidR="00C41106" w:rsidRPr="001F38BE" w:rsidTr="001F38BE">
        <w:tc>
          <w:tcPr>
            <w:tcW w:w="1216" w:type="dxa"/>
          </w:tcPr>
          <w:p w:rsidR="00C41106" w:rsidRPr="001F38BE" w:rsidRDefault="00C41106" w:rsidP="00C81D63">
            <w:pPr>
              <w:tabs>
                <w:tab w:val="center" w:pos="4513"/>
              </w:tabs>
              <w:rPr>
                <w:rFonts w:cs="Times New Roman"/>
                <w:b/>
                <w:sz w:val="40"/>
                <w:szCs w:val="40"/>
              </w:rPr>
            </w:pPr>
            <w:r w:rsidRPr="001F38BE">
              <w:rPr>
                <w:rFonts w:cs="Times New Roman"/>
                <w:b/>
                <w:sz w:val="40"/>
                <w:szCs w:val="40"/>
              </w:rPr>
              <w:t>Unit</w:t>
            </w:r>
          </w:p>
        </w:tc>
        <w:tc>
          <w:tcPr>
            <w:tcW w:w="5393" w:type="dxa"/>
          </w:tcPr>
          <w:p w:rsidR="00C41106" w:rsidRPr="001F38BE" w:rsidRDefault="00C41106" w:rsidP="00C81D63">
            <w:pPr>
              <w:tabs>
                <w:tab w:val="center" w:pos="4513"/>
              </w:tabs>
              <w:rPr>
                <w:rFonts w:cs="Times New Roman"/>
                <w:b/>
                <w:sz w:val="40"/>
                <w:szCs w:val="40"/>
              </w:rPr>
            </w:pPr>
            <w:r w:rsidRPr="001F38BE">
              <w:rPr>
                <w:rFonts w:cs="Times New Roman"/>
                <w:b/>
                <w:sz w:val="40"/>
                <w:szCs w:val="40"/>
              </w:rPr>
              <w:t>Title</w:t>
            </w:r>
          </w:p>
        </w:tc>
        <w:tc>
          <w:tcPr>
            <w:tcW w:w="1150" w:type="dxa"/>
          </w:tcPr>
          <w:p w:rsidR="00C41106" w:rsidRPr="001F38BE" w:rsidRDefault="00C41106" w:rsidP="00C81D63">
            <w:pPr>
              <w:tabs>
                <w:tab w:val="center" w:pos="4513"/>
              </w:tabs>
              <w:rPr>
                <w:rFonts w:cs="Times New Roman"/>
                <w:b/>
                <w:sz w:val="40"/>
                <w:szCs w:val="40"/>
              </w:rPr>
            </w:pPr>
            <w:r w:rsidRPr="001F38BE">
              <w:rPr>
                <w:rFonts w:cs="Times New Roman"/>
                <w:b/>
                <w:sz w:val="40"/>
                <w:szCs w:val="40"/>
              </w:rPr>
              <w:t>Level</w:t>
            </w:r>
          </w:p>
        </w:tc>
        <w:tc>
          <w:tcPr>
            <w:tcW w:w="1483" w:type="dxa"/>
          </w:tcPr>
          <w:p w:rsidR="00C41106" w:rsidRPr="001F38BE" w:rsidRDefault="00C41106" w:rsidP="00C81D63">
            <w:pPr>
              <w:tabs>
                <w:tab w:val="center" w:pos="4513"/>
              </w:tabs>
              <w:rPr>
                <w:rFonts w:cs="Times New Roman"/>
                <w:b/>
                <w:sz w:val="40"/>
                <w:szCs w:val="40"/>
              </w:rPr>
            </w:pPr>
            <w:r w:rsidRPr="001F38BE">
              <w:rPr>
                <w:rFonts w:cs="Times New Roman"/>
                <w:b/>
                <w:sz w:val="40"/>
                <w:szCs w:val="40"/>
              </w:rPr>
              <w:t>Credits</w:t>
            </w:r>
          </w:p>
        </w:tc>
      </w:tr>
      <w:tr w:rsidR="00C41106" w:rsidRPr="001F38BE" w:rsidTr="001F38BE">
        <w:tc>
          <w:tcPr>
            <w:tcW w:w="1216" w:type="dxa"/>
          </w:tcPr>
          <w:p w:rsidR="00C41106" w:rsidRPr="001F38BE" w:rsidRDefault="00C41106" w:rsidP="00C81D63">
            <w:pPr>
              <w:tabs>
                <w:tab w:val="center" w:pos="4513"/>
              </w:tabs>
              <w:rPr>
                <w:rFonts w:cs="Times New Roman"/>
                <w:sz w:val="40"/>
                <w:szCs w:val="40"/>
              </w:rPr>
            </w:pPr>
            <w:r w:rsidRPr="001F38BE">
              <w:rPr>
                <w:rFonts w:cs="Times New Roman"/>
                <w:sz w:val="40"/>
                <w:szCs w:val="40"/>
              </w:rPr>
              <w:t>20673</w:t>
            </w:r>
          </w:p>
        </w:tc>
        <w:tc>
          <w:tcPr>
            <w:tcW w:w="5393" w:type="dxa"/>
          </w:tcPr>
          <w:p w:rsidR="00C41106" w:rsidRPr="001F38BE" w:rsidRDefault="00C41106" w:rsidP="00C81D63">
            <w:pPr>
              <w:tabs>
                <w:tab w:val="center" w:pos="4513"/>
              </w:tabs>
              <w:rPr>
                <w:rFonts w:cs="Times New Roman"/>
                <w:sz w:val="40"/>
                <w:szCs w:val="40"/>
              </w:rPr>
            </w:pPr>
            <w:r w:rsidRPr="001F38BE">
              <w:rPr>
                <w:rFonts w:cs="Times New Roman"/>
                <w:sz w:val="40"/>
                <w:szCs w:val="40"/>
              </w:rPr>
              <w:t>Apply knowledge of injury prevention and management of sport or physical reaction</w:t>
            </w:r>
          </w:p>
        </w:tc>
        <w:tc>
          <w:tcPr>
            <w:tcW w:w="1150" w:type="dxa"/>
          </w:tcPr>
          <w:p w:rsidR="00C41106" w:rsidRPr="001F38BE" w:rsidRDefault="00C41106" w:rsidP="00C81D63">
            <w:pPr>
              <w:tabs>
                <w:tab w:val="center" w:pos="4513"/>
              </w:tabs>
              <w:rPr>
                <w:rFonts w:cs="Times New Roman"/>
                <w:sz w:val="40"/>
                <w:szCs w:val="40"/>
              </w:rPr>
            </w:pPr>
            <w:r w:rsidRPr="001F38BE">
              <w:rPr>
                <w:rFonts w:cs="Times New Roman"/>
                <w:sz w:val="40"/>
                <w:szCs w:val="40"/>
              </w:rPr>
              <w:t>3</w:t>
            </w:r>
          </w:p>
        </w:tc>
        <w:tc>
          <w:tcPr>
            <w:tcW w:w="1483" w:type="dxa"/>
          </w:tcPr>
          <w:p w:rsidR="00C41106" w:rsidRPr="001F38BE" w:rsidRDefault="00C41106" w:rsidP="00C81D63">
            <w:pPr>
              <w:tabs>
                <w:tab w:val="center" w:pos="4513"/>
              </w:tabs>
              <w:rPr>
                <w:rFonts w:cs="Times New Roman"/>
                <w:sz w:val="40"/>
                <w:szCs w:val="40"/>
              </w:rPr>
            </w:pPr>
            <w:r w:rsidRPr="001F38BE">
              <w:rPr>
                <w:rFonts w:cs="Times New Roman"/>
                <w:sz w:val="40"/>
                <w:szCs w:val="40"/>
              </w:rPr>
              <w:t>4</w:t>
            </w:r>
          </w:p>
        </w:tc>
      </w:tr>
      <w:tr w:rsidR="001F38BE" w:rsidRPr="001F38BE" w:rsidTr="001F38BE">
        <w:tc>
          <w:tcPr>
            <w:tcW w:w="1216" w:type="dxa"/>
          </w:tcPr>
          <w:p w:rsidR="001F38BE" w:rsidRPr="001F38BE" w:rsidRDefault="001F38BE" w:rsidP="000C572F">
            <w:pPr>
              <w:tabs>
                <w:tab w:val="center" w:pos="4513"/>
              </w:tabs>
              <w:rPr>
                <w:rFonts w:cs="Times New Roman"/>
                <w:sz w:val="40"/>
                <w:szCs w:val="40"/>
              </w:rPr>
            </w:pPr>
            <w:r w:rsidRPr="001F38BE">
              <w:rPr>
                <w:rFonts w:cs="Times New Roman"/>
                <w:sz w:val="40"/>
                <w:szCs w:val="40"/>
              </w:rPr>
              <w:t>26223</w:t>
            </w:r>
          </w:p>
        </w:tc>
        <w:tc>
          <w:tcPr>
            <w:tcW w:w="5393" w:type="dxa"/>
          </w:tcPr>
          <w:p w:rsidR="001F38BE" w:rsidRPr="001F38BE" w:rsidRDefault="001F38BE" w:rsidP="000C572F">
            <w:pPr>
              <w:tabs>
                <w:tab w:val="center" w:pos="4513"/>
              </w:tabs>
              <w:rPr>
                <w:rFonts w:cs="Times New Roman"/>
                <w:sz w:val="40"/>
                <w:szCs w:val="40"/>
              </w:rPr>
            </w:pPr>
            <w:r w:rsidRPr="001F38BE">
              <w:rPr>
                <w:rFonts w:cs="Times New Roman"/>
                <w:sz w:val="40"/>
                <w:szCs w:val="40"/>
              </w:rPr>
              <w:t>Apply knowledge of injury prevention and management of sport or physical reaction</w:t>
            </w:r>
          </w:p>
        </w:tc>
        <w:tc>
          <w:tcPr>
            <w:tcW w:w="1150" w:type="dxa"/>
          </w:tcPr>
          <w:p w:rsidR="001F38BE" w:rsidRPr="001F38BE" w:rsidRDefault="001F38BE" w:rsidP="000C572F">
            <w:pPr>
              <w:tabs>
                <w:tab w:val="center" w:pos="4513"/>
              </w:tabs>
              <w:rPr>
                <w:rFonts w:cs="Times New Roman"/>
                <w:sz w:val="40"/>
                <w:szCs w:val="40"/>
              </w:rPr>
            </w:pPr>
            <w:r w:rsidRPr="001F38BE">
              <w:rPr>
                <w:rFonts w:cs="Times New Roman"/>
                <w:sz w:val="40"/>
                <w:szCs w:val="40"/>
              </w:rPr>
              <w:t>3</w:t>
            </w:r>
          </w:p>
        </w:tc>
        <w:tc>
          <w:tcPr>
            <w:tcW w:w="1483" w:type="dxa"/>
          </w:tcPr>
          <w:p w:rsidR="001F38BE" w:rsidRPr="001F38BE" w:rsidRDefault="001F38BE" w:rsidP="000C572F">
            <w:pPr>
              <w:tabs>
                <w:tab w:val="center" w:pos="4513"/>
              </w:tabs>
              <w:rPr>
                <w:rFonts w:cs="Times New Roman"/>
                <w:sz w:val="40"/>
                <w:szCs w:val="40"/>
              </w:rPr>
            </w:pPr>
            <w:r w:rsidRPr="001F38BE">
              <w:rPr>
                <w:rFonts w:cs="Times New Roman"/>
                <w:sz w:val="40"/>
                <w:szCs w:val="40"/>
              </w:rPr>
              <w:t>6</w:t>
            </w:r>
          </w:p>
        </w:tc>
      </w:tr>
    </w:tbl>
    <w:p w:rsidR="001301E6" w:rsidRDefault="001301E6" w:rsidP="001301E6">
      <w:pPr>
        <w:tabs>
          <w:tab w:val="center" w:pos="4513"/>
        </w:tabs>
        <w:spacing w:after="0"/>
        <w:rPr>
          <w:rFonts w:cs="Times New Roman"/>
          <w:szCs w:val="24"/>
        </w:rPr>
      </w:pPr>
    </w:p>
    <w:p w:rsidR="00C41106" w:rsidRDefault="00C41106" w:rsidP="001301E6">
      <w:pPr>
        <w:tabs>
          <w:tab w:val="center" w:pos="4513"/>
        </w:tabs>
        <w:spacing w:after="0"/>
        <w:rPr>
          <w:rFonts w:cs="Times New Roman"/>
          <w:szCs w:val="24"/>
        </w:rPr>
      </w:pPr>
    </w:p>
    <w:tbl>
      <w:tblPr>
        <w:tblStyle w:val="TableGrid"/>
        <w:tblW w:w="9361" w:type="dxa"/>
        <w:tblLook w:val="04A0" w:firstRow="1" w:lastRow="0" w:firstColumn="1" w:lastColumn="0" w:noHBand="0" w:noVBand="1"/>
      </w:tblPr>
      <w:tblGrid>
        <w:gridCol w:w="936"/>
        <w:gridCol w:w="6599"/>
        <w:gridCol w:w="850"/>
        <w:gridCol w:w="976"/>
      </w:tblGrid>
      <w:tr w:rsidR="001301E6" w:rsidRPr="001301E6" w:rsidTr="001F38BE">
        <w:tc>
          <w:tcPr>
            <w:tcW w:w="936" w:type="dxa"/>
          </w:tcPr>
          <w:p w:rsidR="001301E6" w:rsidRPr="001301E6" w:rsidRDefault="001301E6" w:rsidP="001301E6">
            <w:pPr>
              <w:tabs>
                <w:tab w:val="center" w:pos="4513"/>
              </w:tabs>
              <w:rPr>
                <w:rFonts w:cs="Times New Roman"/>
                <w:b/>
                <w:szCs w:val="24"/>
              </w:rPr>
            </w:pPr>
            <w:r w:rsidRPr="001301E6">
              <w:rPr>
                <w:rFonts w:cs="Times New Roman"/>
                <w:b/>
                <w:szCs w:val="24"/>
              </w:rPr>
              <w:t>Unit</w:t>
            </w:r>
          </w:p>
        </w:tc>
        <w:tc>
          <w:tcPr>
            <w:tcW w:w="6599" w:type="dxa"/>
          </w:tcPr>
          <w:p w:rsidR="001301E6" w:rsidRPr="001301E6" w:rsidRDefault="001301E6" w:rsidP="001301E6">
            <w:pPr>
              <w:tabs>
                <w:tab w:val="center" w:pos="4513"/>
              </w:tabs>
              <w:rPr>
                <w:rFonts w:cs="Times New Roman"/>
                <w:b/>
                <w:szCs w:val="24"/>
              </w:rPr>
            </w:pPr>
            <w:r w:rsidRPr="001301E6">
              <w:rPr>
                <w:rFonts w:cs="Times New Roman"/>
                <w:b/>
                <w:szCs w:val="24"/>
              </w:rPr>
              <w:t>Title</w:t>
            </w:r>
          </w:p>
        </w:tc>
        <w:tc>
          <w:tcPr>
            <w:tcW w:w="850" w:type="dxa"/>
          </w:tcPr>
          <w:p w:rsidR="001301E6" w:rsidRPr="001301E6" w:rsidRDefault="001301E6" w:rsidP="001301E6">
            <w:pPr>
              <w:tabs>
                <w:tab w:val="center" w:pos="4513"/>
              </w:tabs>
              <w:rPr>
                <w:rFonts w:cs="Times New Roman"/>
                <w:b/>
                <w:szCs w:val="24"/>
              </w:rPr>
            </w:pPr>
            <w:r w:rsidRPr="001301E6">
              <w:rPr>
                <w:rFonts w:cs="Times New Roman"/>
                <w:b/>
                <w:szCs w:val="24"/>
              </w:rPr>
              <w:t>Level</w:t>
            </w:r>
          </w:p>
        </w:tc>
        <w:tc>
          <w:tcPr>
            <w:tcW w:w="976" w:type="dxa"/>
          </w:tcPr>
          <w:p w:rsidR="001301E6" w:rsidRPr="001301E6" w:rsidRDefault="001301E6" w:rsidP="001301E6">
            <w:pPr>
              <w:tabs>
                <w:tab w:val="center" w:pos="4513"/>
              </w:tabs>
              <w:rPr>
                <w:rFonts w:cs="Times New Roman"/>
                <w:b/>
                <w:szCs w:val="24"/>
              </w:rPr>
            </w:pPr>
            <w:r w:rsidRPr="001301E6">
              <w:rPr>
                <w:rFonts w:cs="Times New Roman"/>
                <w:b/>
                <w:szCs w:val="24"/>
              </w:rPr>
              <w:t>Credits</w:t>
            </w:r>
          </w:p>
        </w:tc>
      </w:tr>
      <w:tr w:rsidR="001301E6" w:rsidRPr="001301E6" w:rsidTr="001F38BE">
        <w:tc>
          <w:tcPr>
            <w:tcW w:w="936" w:type="dxa"/>
          </w:tcPr>
          <w:p w:rsidR="001301E6" w:rsidRPr="001301E6" w:rsidRDefault="001F38BE" w:rsidP="001301E6">
            <w:pPr>
              <w:tabs>
                <w:tab w:val="center" w:pos="4513"/>
              </w:tabs>
              <w:rPr>
                <w:rFonts w:cs="Times New Roman"/>
                <w:szCs w:val="24"/>
              </w:rPr>
            </w:pPr>
            <w:r>
              <w:rPr>
                <w:rFonts w:cs="Times New Roman"/>
                <w:szCs w:val="24"/>
              </w:rPr>
              <w:t>26223</w:t>
            </w:r>
          </w:p>
        </w:tc>
        <w:tc>
          <w:tcPr>
            <w:tcW w:w="6599" w:type="dxa"/>
          </w:tcPr>
          <w:p w:rsidR="001301E6" w:rsidRPr="001301E6" w:rsidRDefault="001301E6" w:rsidP="001301E6">
            <w:pPr>
              <w:tabs>
                <w:tab w:val="center" w:pos="4513"/>
              </w:tabs>
              <w:rPr>
                <w:rFonts w:cs="Times New Roman"/>
                <w:szCs w:val="24"/>
              </w:rPr>
            </w:pPr>
            <w:r w:rsidRPr="001301E6">
              <w:rPr>
                <w:rFonts w:cs="Times New Roman"/>
                <w:szCs w:val="24"/>
              </w:rPr>
              <w:t>Apply knowledge of injury prevention and management of sport or physical reaction</w:t>
            </w:r>
          </w:p>
        </w:tc>
        <w:tc>
          <w:tcPr>
            <w:tcW w:w="850" w:type="dxa"/>
          </w:tcPr>
          <w:p w:rsidR="001301E6" w:rsidRPr="001301E6" w:rsidRDefault="001301E6" w:rsidP="001301E6">
            <w:pPr>
              <w:tabs>
                <w:tab w:val="center" w:pos="4513"/>
              </w:tabs>
              <w:rPr>
                <w:rFonts w:cs="Times New Roman"/>
                <w:szCs w:val="24"/>
              </w:rPr>
            </w:pPr>
            <w:r>
              <w:rPr>
                <w:rFonts w:cs="Times New Roman"/>
                <w:szCs w:val="24"/>
              </w:rPr>
              <w:t>3</w:t>
            </w:r>
          </w:p>
        </w:tc>
        <w:tc>
          <w:tcPr>
            <w:tcW w:w="976" w:type="dxa"/>
          </w:tcPr>
          <w:p w:rsidR="001301E6" w:rsidRPr="001301E6" w:rsidRDefault="001F38BE" w:rsidP="001301E6">
            <w:pPr>
              <w:tabs>
                <w:tab w:val="center" w:pos="4513"/>
              </w:tabs>
              <w:rPr>
                <w:rFonts w:cs="Times New Roman"/>
                <w:szCs w:val="24"/>
              </w:rPr>
            </w:pPr>
            <w:r>
              <w:rPr>
                <w:rFonts w:cs="Times New Roman"/>
                <w:szCs w:val="24"/>
              </w:rPr>
              <w:t>6</w:t>
            </w:r>
          </w:p>
        </w:tc>
      </w:tr>
      <w:tr w:rsidR="001301E6" w:rsidTr="001F38BE">
        <w:tc>
          <w:tcPr>
            <w:tcW w:w="936" w:type="dxa"/>
          </w:tcPr>
          <w:p w:rsidR="001301E6" w:rsidRPr="001301E6" w:rsidRDefault="001301E6" w:rsidP="001301E6">
            <w:pPr>
              <w:tabs>
                <w:tab w:val="center" w:pos="4513"/>
              </w:tabs>
              <w:rPr>
                <w:rFonts w:cs="Times New Roman"/>
                <w:szCs w:val="24"/>
              </w:rPr>
            </w:pPr>
          </w:p>
        </w:tc>
        <w:tc>
          <w:tcPr>
            <w:tcW w:w="6599" w:type="dxa"/>
          </w:tcPr>
          <w:p w:rsidR="001301E6" w:rsidRDefault="001301E6" w:rsidP="001301E6">
            <w:pPr>
              <w:tabs>
                <w:tab w:val="center" w:pos="4513"/>
              </w:tabs>
              <w:rPr>
                <w:rFonts w:cs="Times New Roman"/>
                <w:szCs w:val="24"/>
              </w:rPr>
            </w:pPr>
          </w:p>
        </w:tc>
        <w:tc>
          <w:tcPr>
            <w:tcW w:w="850" w:type="dxa"/>
          </w:tcPr>
          <w:p w:rsidR="001301E6" w:rsidRPr="001301E6" w:rsidRDefault="001301E6" w:rsidP="001301E6">
            <w:pPr>
              <w:tabs>
                <w:tab w:val="center" w:pos="4513"/>
              </w:tabs>
              <w:rPr>
                <w:rFonts w:cs="Times New Roman"/>
                <w:szCs w:val="24"/>
              </w:rPr>
            </w:pPr>
          </w:p>
        </w:tc>
        <w:tc>
          <w:tcPr>
            <w:tcW w:w="976" w:type="dxa"/>
          </w:tcPr>
          <w:p w:rsidR="001301E6" w:rsidRPr="001301E6" w:rsidRDefault="001301E6" w:rsidP="001301E6">
            <w:pPr>
              <w:tabs>
                <w:tab w:val="center" w:pos="4513"/>
              </w:tabs>
              <w:rPr>
                <w:rFonts w:cs="Times New Roman"/>
                <w:szCs w:val="24"/>
              </w:rPr>
            </w:pPr>
          </w:p>
        </w:tc>
      </w:tr>
    </w:tbl>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6949"/>
        <w:gridCol w:w="982"/>
        <w:gridCol w:w="441"/>
      </w:tblGrid>
      <w:tr w:rsidR="001301E6" w:rsidTr="001301E6">
        <w:trPr>
          <w:gridAfter w:val="2"/>
          <w:wAfter w:w="1423" w:type="dxa"/>
        </w:trPr>
        <w:tc>
          <w:tcPr>
            <w:tcW w:w="870" w:type="dxa"/>
            <w:shd w:val="clear" w:color="auto" w:fill="F3F3F3"/>
            <w:tcMar>
              <w:top w:w="170" w:type="dxa"/>
              <w:bottom w:w="170" w:type="dxa"/>
            </w:tcMar>
          </w:tcPr>
          <w:p w:rsidR="001301E6" w:rsidRDefault="001301E6" w:rsidP="001301E6">
            <w:pPr>
              <w:pStyle w:val="StyleBoldBefore6ptAfter6pt"/>
              <w:spacing w:before="0" w:after="0"/>
            </w:pPr>
            <w:r>
              <w:t>Title</w:t>
            </w:r>
          </w:p>
        </w:tc>
        <w:tc>
          <w:tcPr>
            <w:tcW w:w="6949" w:type="dxa"/>
            <w:tcMar>
              <w:top w:w="170" w:type="dxa"/>
              <w:bottom w:w="170" w:type="dxa"/>
            </w:tcMar>
            <w:vAlign w:val="center"/>
          </w:tcPr>
          <w:p w:rsidR="001301E6" w:rsidRDefault="001301E6" w:rsidP="001301E6">
            <w:pPr>
              <w:spacing w:after="0"/>
              <w:rPr>
                <w:b/>
              </w:rPr>
            </w:pPr>
            <w:r>
              <w:rPr>
                <w:b/>
              </w:rPr>
              <w:t>Apply sport rules and regulations while officiating in a competitive sports event</w:t>
            </w:r>
          </w:p>
        </w:tc>
      </w:tr>
      <w:tr w:rsidR="001301E6" w:rsidTr="001301E6">
        <w:tc>
          <w:tcPr>
            <w:tcW w:w="870" w:type="dxa"/>
            <w:shd w:val="clear" w:color="auto" w:fill="F3F3F3"/>
            <w:tcMar>
              <w:top w:w="170" w:type="dxa"/>
              <w:bottom w:w="170" w:type="dxa"/>
            </w:tcMar>
          </w:tcPr>
          <w:p w:rsidR="001301E6" w:rsidRDefault="001301E6" w:rsidP="001301E6">
            <w:pPr>
              <w:pStyle w:val="StyleBoldBefore6ptAfter6pt"/>
              <w:spacing w:before="0" w:after="0"/>
            </w:pPr>
            <w:r>
              <w:t>Level</w:t>
            </w:r>
          </w:p>
        </w:tc>
        <w:tc>
          <w:tcPr>
            <w:tcW w:w="6949" w:type="dxa"/>
            <w:tcMar>
              <w:top w:w="170" w:type="dxa"/>
              <w:bottom w:w="170" w:type="dxa"/>
            </w:tcMar>
            <w:vAlign w:val="center"/>
          </w:tcPr>
          <w:p w:rsidR="001301E6" w:rsidRDefault="001301E6" w:rsidP="001301E6">
            <w:pPr>
              <w:spacing w:after="0"/>
              <w:rPr>
                <w:b/>
              </w:rPr>
            </w:pPr>
            <w:r>
              <w:rPr>
                <w:b/>
              </w:rPr>
              <w:t>3</w:t>
            </w:r>
          </w:p>
        </w:tc>
        <w:tc>
          <w:tcPr>
            <w:tcW w:w="982" w:type="dxa"/>
            <w:shd w:val="clear" w:color="auto" w:fill="F3F3F3"/>
            <w:tcMar>
              <w:top w:w="170" w:type="dxa"/>
              <w:bottom w:w="170" w:type="dxa"/>
            </w:tcMar>
          </w:tcPr>
          <w:p w:rsidR="001301E6" w:rsidRDefault="001301E6" w:rsidP="001301E6">
            <w:pPr>
              <w:spacing w:after="0"/>
              <w:rPr>
                <w:b/>
                <w:color w:val="000000"/>
              </w:rPr>
            </w:pPr>
            <w:r>
              <w:rPr>
                <w:b/>
              </w:rPr>
              <w:t>Credits</w:t>
            </w:r>
          </w:p>
        </w:tc>
        <w:tc>
          <w:tcPr>
            <w:tcW w:w="441" w:type="dxa"/>
            <w:tcMar>
              <w:top w:w="170" w:type="dxa"/>
              <w:bottom w:w="170" w:type="dxa"/>
            </w:tcMar>
            <w:vAlign w:val="center"/>
          </w:tcPr>
          <w:p w:rsidR="001301E6" w:rsidRDefault="001301E6" w:rsidP="001301E6">
            <w:pPr>
              <w:spacing w:after="0"/>
              <w:rPr>
                <w:b/>
              </w:rPr>
            </w:pPr>
            <w:r>
              <w:rPr>
                <w:b/>
              </w:rPr>
              <w:t>6</w:t>
            </w:r>
          </w:p>
        </w:tc>
      </w:tr>
    </w:tbl>
    <w:p w:rsidR="001301E6" w:rsidRDefault="001301E6" w:rsidP="001301E6">
      <w:pPr>
        <w:spacing w:after="0"/>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1301E6" w:rsidTr="001301E6">
        <w:tc>
          <w:tcPr>
            <w:tcW w:w="2868" w:type="dxa"/>
            <w:shd w:val="clear" w:color="auto" w:fill="F3F3F3"/>
            <w:tcMar>
              <w:top w:w="170" w:type="dxa"/>
              <w:bottom w:w="170" w:type="dxa"/>
            </w:tcMar>
          </w:tcPr>
          <w:p w:rsidR="001301E6" w:rsidRDefault="001301E6" w:rsidP="001301E6">
            <w:pPr>
              <w:pStyle w:val="StyleBoldBefore6ptAfter6pt"/>
              <w:spacing w:before="0" w:after="0"/>
            </w:pPr>
            <w:r>
              <w:rPr>
                <w:bCs w:val="0"/>
              </w:rPr>
              <w:t>Purpose</w:t>
            </w:r>
          </w:p>
        </w:tc>
        <w:tc>
          <w:tcPr>
            <w:tcW w:w="6974" w:type="dxa"/>
            <w:tcMar>
              <w:top w:w="170" w:type="dxa"/>
              <w:bottom w:w="170" w:type="dxa"/>
            </w:tcMar>
            <w:vAlign w:val="center"/>
          </w:tcPr>
          <w:p w:rsidR="001301E6" w:rsidRDefault="001301E6" w:rsidP="001301E6">
            <w:pPr>
              <w:tabs>
                <w:tab w:val="left" w:pos="1418"/>
              </w:tabs>
              <w:spacing w:after="0"/>
            </w:pPr>
            <w:r>
              <w:t>This unit standard is designed primarily for people seeking to further develop their skills as a sports official.</w:t>
            </w:r>
          </w:p>
          <w:p w:rsidR="001301E6" w:rsidRDefault="001301E6" w:rsidP="001301E6">
            <w:pPr>
              <w:tabs>
                <w:tab w:val="left" w:pos="1418"/>
              </w:tabs>
              <w:spacing w:after="0"/>
            </w:pPr>
          </w:p>
          <w:p w:rsidR="001301E6" w:rsidRDefault="001301E6" w:rsidP="001301E6">
            <w:pPr>
              <w:tabs>
                <w:tab w:val="left" w:pos="1418"/>
              </w:tabs>
              <w:spacing w:after="0"/>
            </w:pPr>
            <w:r>
              <w:t>People credited with this unit standard are, while officiating in a competitive sports event, able to: identify information on which to base decisions; interpret and apply sport rules and regulations when making decisions; and communicate decisions and manage outcomes of decision-making.</w:t>
            </w:r>
          </w:p>
        </w:tc>
      </w:tr>
      <w:tr w:rsidR="001301E6" w:rsidTr="001301E6">
        <w:tc>
          <w:tcPr>
            <w:tcW w:w="2868" w:type="dxa"/>
            <w:shd w:val="clear" w:color="auto" w:fill="F3F3F3"/>
            <w:tcMar>
              <w:top w:w="170" w:type="dxa"/>
              <w:bottom w:w="170" w:type="dxa"/>
            </w:tcMar>
          </w:tcPr>
          <w:p w:rsidR="001301E6" w:rsidRDefault="001301E6" w:rsidP="001301E6">
            <w:pPr>
              <w:pStyle w:val="StyleBoldBefore6ptAfter6pt"/>
              <w:spacing w:before="0" w:after="0"/>
              <w:rPr>
                <w:bCs w:val="0"/>
              </w:rPr>
            </w:pPr>
            <w:r>
              <w:rPr>
                <w:bCs w:val="0"/>
              </w:rPr>
              <w:t>Classification</w:t>
            </w:r>
          </w:p>
        </w:tc>
        <w:tc>
          <w:tcPr>
            <w:tcW w:w="6974" w:type="dxa"/>
            <w:tcMar>
              <w:top w:w="170" w:type="dxa"/>
              <w:bottom w:w="170" w:type="dxa"/>
            </w:tcMar>
            <w:vAlign w:val="center"/>
          </w:tcPr>
          <w:p w:rsidR="001301E6" w:rsidRDefault="001301E6" w:rsidP="001301E6">
            <w:pPr>
              <w:spacing w:after="0"/>
            </w:pPr>
            <w:r>
              <w:t>Recreation and Sport &gt; Sport Officiating</w:t>
            </w:r>
          </w:p>
        </w:tc>
      </w:tr>
      <w:tr w:rsidR="001301E6" w:rsidTr="001301E6">
        <w:tc>
          <w:tcPr>
            <w:tcW w:w="2868" w:type="dxa"/>
            <w:shd w:val="clear" w:color="auto" w:fill="F3F3F3"/>
            <w:tcMar>
              <w:top w:w="170" w:type="dxa"/>
              <w:bottom w:w="170" w:type="dxa"/>
            </w:tcMar>
          </w:tcPr>
          <w:p w:rsidR="001301E6" w:rsidRDefault="001301E6" w:rsidP="001301E6">
            <w:pPr>
              <w:pStyle w:val="StyleBoldBefore6ptAfter6pt"/>
              <w:spacing w:before="0" w:after="0"/>
              <w:rPr>
                <w:bCs w:val="0"/>
              </w:rPr>
            </w:pPr>
            <w:r>
              <w:rPr>
                <w:bCs w:val="0"/>
              </w:rPr>
              <w:t>Available grade</w:t>
            </w:r>
          </w:p>
        </w:tc>
        <w:tc>
          <w:tcPr>
            <w:tcW w:w="6974" w:type="dxa"/>
            <w:tcMar>
              <w:top w:w="170" w:type="dxa"/>
              <w:bottom w:w="170" w:type="dxa"/>
            </w:tcMar>
          </w:tcPr>
          <w:p w:rsidR="001301E6" w:rsidRDefault="001301E6" w:rsidP="001301E6">
            <w:pPr>
              <w:spacing w:after="0"/>
            </w:pPr>
            <w:r>
              <w:t>Achieved</w:t>
            </w:r>
          </w:p>
        </w:tc>
      </w:tr>
    </w:tbl>
    <w:p w:rsidR="001301E6" w:rsidRDefault="001301E6" w:rsidP="001301E6">
      <w:pPr>
        <w:pBdr>
          <w:top w:val="single" w:sz="4" w:space="1" w:color="auto"/>
        </w:pBdr>
        <w:tabs>
          <w:tab w:val="left" w:pos="567"/>
        </w:tabs>
        <w:spacing w:after="0"/>
        <w:rPr>
          <w:rFonts w:cs="Arial"/>
          <w:b/>
          <w:bCs/>
          <w:szCs w:val="24"/>
        </w:rPr>
      </w:pPr>
      <w:r>
        <w:rPr>
          <w:rFonts w:cs="Arial"/>
          <w:b/>
          <w:bCs/>
          <w:szCs w:val="24"/>
        </w:rPr>
        <w:t>Explanatory notes</w:t>
      </w:r>
    </w:p>
    <w:p w:rsidR="001301E6" w:rsidRDefault="001301E6" w:rsidP="001301E6">
      <w:pPr>
        <w:tabs>
          <w:tab w:val="left" w:pos="567"/>
          <w:tab w:val="left" w:pos="1134"/>
          <w:tab w:val="left" w:pos="1417"/>
        </w:tabs>
        <w:spacing w:after="0"/>
        <w:ind w:left="567" w:hanging="567"/>
        <w:rPr>
          <w:rFonts w:cs="Arial"/>
        </w:rPr>
      </w:pPr>
    </w:p>
    <w:p w:rsidR="001301E6" w:rsidRDefault="001301E6" w:rsidP="001301E6">
      <w:pPr>
        <w:tabs>
          <w:tab w:val="left" w:pos="567"/>
          <w:tab w:val="left" w:pos="1134"/>
          <w:tab w:val="left" w:pos="1417"/>
        </w:tabs>
        <w:spacing w:after="0"/>
        <w:ind w:left="567" w:hanging="567"/>
        <w:rPr>
          <w:rFonts w:cs="Arial"/>
        </w:rPr>
      </w:pPr>
      <w:r>
        <w:rPr>
          <w:rFonts w:cs="Arial"/>
        </w:rPr>
        <w:t>1</w:t>
      </w:r>
      <w:r>
        <w:rPr>
          <w:rFonts w:cs="Arial"/>
        </w:rPr>
        <w:tab/>
        <w:t xml:space="preserve">This unit standard relates to the learning area </w:t>
      </w:r>
      <w:r>
        <w:rPr>
          <w:rFonts w:cs="Arial"/>
          <w:i/>
        </w:rPr>
        <w:t>Rules and Laws of the Game</w:t>
      </w:r>
      <w:r>
        <w:rPr>
          <w:rFonts w:cs="Arial"/>
        </w:rPr>
        <w:t xml:space="preserve"> from </w:t>
      </w:r>
      <w:r>
        <w:rPr>
          <w:rFonts w:cs="Arial"/>
          <w:i/>
        </w:rPr>
        <w:t>Calling the Game: Developing Quality Officiating</w:t>
      </w:r>
      <w:r>
        <w:rPr>
          <w:rFonts w:cs="Arial"/>
        </w:rPr>
        <w:t xml:space="preserve">.  This is the national framework for developing sports officials and is available at </w:t>
      </w:r>
      <w:hyperlink r:id="rId5" w:history="1">
        <w:r>
          <w:rPr>
            <w:rStyle w:val="Hyperlink"/>
            <w:rFonts w:cs="Arial"/>
          </w:rPr>
          <w:t>http://www.sparc.org.nz/en-nz/communities-and-clubs/Toolkit-for-Officials/Learning-Areas/</w:t>
        </w:r>
      </w:hyperlink>
      <w:r>
        <w:rPr>
          <w:rFonts w:cs="Arial"/>
          <w:lang w:val="en-US"/>
        </w:rPr>
        <w:t>.</w:t>
      </w:r>
    </w:p>
    <w:p w:rsidR="001301E6" w:rsidRDefault="001301E6" w:rsidP="001301E6">
      <w:pPr>
        <w:tabs>
          <w:tab w:val="left" w:pos="567"/>
          <w:tab w:val="left" w:pos="1134"/>
          <w:tab w:val="left" w:pos="1417"/>
        </w:tabs>
        <w:spacing w:after="0"/>
        <w:ind w:left="567" w:hanging="567"/>
        <w:rPr>
          <w:rFonts w:cs="Arial"/>
        </w:rPr>
      </w:pPr>
      <w:r>
        <w:rPr>
          <w:rFonts w:cs="Arial"/>
        </w:rPr>
        <w:lastRenderedPageBreak/>
        <w:t>2</w:t>
      </w:r>
      <w:r>
        <w:rPr>
          <w:rFonts w:cs="Arial"/>
        </w:rPr>
        <w:tab/>
        <w:t xml:space="preserve">Useful resources for this unit standard are the current versions of the Drug Free Sport NZ </w:t>
      </w:r>
      <w:r>
        <w:rPr>
          <w:rFonts w:cs="Arial"/>
          <w:i/>
        </w:rPr>
        <w:t xml:space="preserve">Athlete Handbook </w:t>
      </w:r>
      <w:r>
        <w:rPr>
          <w:rFonts w:cs="Arial"/>
        </w:rPr>
        <w:t xml:space="preserve">and the </w:t>
      </w:r>
      <w:r>
        <w:rPr>
          <w:rFonts w:cs="Arial"/>
          <w:i/>
        </w:rPr>
        <w:t>Athlete Rights and Responsibilities</w:t>
      </w:r>
      <w:r>
        <w:rPr>
          <w:rFonts w:cs="Arial"/>
        </w:rPr>
        <w:t xml:space="preserve"> document available from </w:t>
      </w:r>
      <w:hyperlink r:id="rId6" w:history="1">
        <w:r>
          <w:rPr>
            <w:rStyle w:val="Hyperlink"/>
            <w:rFonts w:cs="Arial"/>
          </w:rPr>
          <w:t>http://www.drugfreesport.org.nz</w:t>
        </w:r>
      </w:hyperlink>
      <w:r>
        <w:rPr>
          <w:rFonts w:cs="Arial"/>
        </w:rPr>
        <w:t xml:space="preserve"> and follow link under Resources.</w:t>
      </w:r>
    </w:p>
    <w:p w:rsidR="001301E6" w:rsidRDefault="001301E6" w:rsidP="001301E6">
      <w:pPr>
        <w:tabs>
          <w:tab w:val="left" w:pos="567"/>
          <w:tab w:val="left" w:pos="1134"/>
          <w:tab w:val="left" w:pos="1417"/>
        </w:tabs>
        <w:spacing w:after="0"/>
        <w:ind w:left="567" w:hanging="567"/>
        <w:rPr>
          <w:rFonts w:cs="Arial"/>
        </w:rPr>
      </w:pPr>
      <w:r>
        <w:rPr>
          <w:rFonts w:cs="Arial"/>
        </w:rPr>
        <w:t>3</w:t>
      </w:r>
      <w:r>
        <w:rPr>
          <w:rFonts w:cs="Arial"/>
        </w:rPr>
        <w:tab/>
      </w:r>
      <w:r>
        <w:rPr>
          <w:rFonts w:cs="Arial"/>
          <w:color w:val="000000"/>
        </w:rPr>
        <w:t>Legislation relevant to this standard includes but is not limited to –</w:t>
      </w:r>
      <w:r>
        <w:rPr>
          <w:rFonts w:cs="Arial"/>
        </w:rPr>
        <w:t xml:space="preserve"> the Health and Safety in Employment Act 1992.</w:t>
      </w:r>
    </w:p>
    <w:p w:rsidR="001301E6" w:rsidRDefault="001301E6" w:rsidP="001301E6">
      <w:pPr>
        <w:tabs>
          <w:tab w:val="left" w:pos="567"/>
          <w:tab w:val="left" w:pos="1134"/>
          <w:tab w:val="left" w:pos="1417"/>
        </w:tabs>
        <w:spacing w:after="0"/>
        <w:ind w:left="567" w:hanging="567"/>
        <w:rPr>
          <w:rFonts w:cs="Arial"/>
        </w:rPr>
      </w:pPr>
      <w:r>
        <w:rPr>
          <w:rFonts w:cs="Arial"/>
        </w:rPr>
        <w:t>4</w:t>
      </w:r>
      <w:r>
        <w:rPr>
          <w:rFonts w:cs="Arial"/>
        </w:rPr>
        <w:tab/>
        <w:t xml:space="preserve">Evidence requirements for assessment as an official are detailed in Assessment Guidelines for each sport code and can be obtained from Skills Active </w:t>
      </w:r>
      <w:proofErr w:type="spellStart"/>
      <w:r>
        <w:rPr>
          <w:rFonts w:cs="Arial"/>
        </w:rPr>
        <w:t>Aotearoa</w:t>
      </w:r>
      <w:proofErr w:type="spellEnd"/>
      <w:r>
        <w:rPr>
          <w:rFonts w:cs="Arial"/>
        </w:rPr>
        <w:t xml:space="preserve"> Limited </w:t>
      </w:r>
      <w:hyperlink r:id="rId7" w:history="1">
        <w:r>
          <w:rPr>
            <w:rStyle w:val="Hyperlink"/>
            <w:rFonts w:cs="Arial"/>
          </w:rPr>
          <w:t>info@skillsactive.org.nz</w:t>
        </w:r>
      </w:hyperlink>
      <w:r>
        <w:rPr>
          <w:rFonts w:cs="Arial"/>
        </w:rPr>
        <w:t xml:space="preserve"> on request.</w:t>
      </w:r>
    </w:p>
    <w:p w:rsidR="001301E6" w:rsidRDefault="001301E6" w:rsidP="001301E6">
      <w:pPr>
        <w:tabs>
          <w:tab w:val="left" w:pos="567"/>
          <w:tab w:val="left" w:pos="1134"/>
          <w:tab w:val="left" w:pos="1417"/>
        </w:tabs>
        <w:spacing w:after="0"/>
        <w:ind w:left="567" w:hanging="567"/>
        <w:rPr>
          <w:rFonts w:cs="Arial"/>
        </w:rPr>
      </w:pPr>
      <w:r>
        <w:rPr>
          <w:rFonts w:cs="Arial"/>
        </w:rPr>
        <w:t>5</w:t>
      </w:r>
      <w:r>
        <w:rPr>
          <w:rFonts w:cs="Arial"/>
        </w:rPr>
        <w:tab/>
        <w:t>Definitions</w:t>
      </w:r>
    </w:p>
    <w:p w:rsidR="001301E6" w:rsidRDefault="001301E6" w:rsidP="001301E6">
      <w:pPr>
        <w:tabs>
          <w:tab w:val="left" w:pos="567"/>
          <w:tab w:val="left" w:pos="1134"/>
          <w:tab w:val="left" w:pos="1417"/>
        </w:tabs>
        <w:spacing w:after="0"/>
        <w:ind w:left="567" w:hanging="567"/>
        <w:rPr>
          <w:rFonts w:cs="Arial"/>
        </w:rPr>
      </w:pPr>
      <w:r>
        <w:rPr>
          <w:rFonts w:cs="Arial"/>
        </w:rPr>
        <w:tab/>
        <w:t xml:space="preserve">An </w:t>
      </w:r>
      <w:r>
        <w:rPr>
          <w:rFonts w:cs="Arial"/>
          <w:i/>
        </w:rPr>
        <w:t>event</w:t>
      </w:r>
      <w:r>
        <w:rPr>
          <w:rFonts w:cs="Arial"/>
        </w:rPr>
        <w:t>, in the context of this unit standard, may refer to a match, competition, race, game, tournament, or other competitive sporting fixture.</w:t>
      </w:r>
    </w:p>
    <w:p w:rsidR="001301E6" w:rsidRDefault="001301E6" w:rsidP="001301E6">
      <w:pPr>
        <w:tabs>
          <w:tab w:val="left" w:pos="567"/>
          <w:tab w:val="left" w:pos="1134"/>
          <w:tab w:val="left" w:pos="1417"/>
        </w:tabs>
        <w:spacing w:after="0"/>
        <w:ind w:left="567" w:hanging="567"/>
        <w:rPr>
          <w:rFonts w:cs="Arial"/>
        </w:rPr>
      </w:pPr>
      <w:r>
        <w:rPr>
          <w:rFonts w:cs="Arial"/>
          <w:i/>
        </w:rPr>
        <w:tab/>
        <w:t>Participant</w:t>
      </w:r>
      <w:r>
        <w:rPr>
          <w:rFonts w:cs="Arial"/>
        </w:rPr>
        <w:t xml:space="preserve"> primarily refers to the competitor but may also include spectators, coaches or other sport team members.</w:t>
      </w:r>
    </w:p>
    <w:p w:rsidR="001301E6" w:rsidRDefault="001301E6" w:rsidP="001301E6">
      <w:pPr>
        <w:tabs>
          <w:tab w:val="left" w:pos="567"/>
          <w:tab w:val="left" w:pos="1134"/>
          <w:tab w:val="left" w:pos="1417"/>
        </w:tabs>
        <w:spacing w:after="0"/>
        <w:ind w:left="567" w:hanging="567"/>
        <w:rPr>
          <w:rFonts w:cs="Arial"/>
        </w:rPr>
      </w:pPr>
      <w:r>
        <w:rPr>
          <w:rFonts w:cs="Arial"/>
          <w:i/>
          <w:iCs/>
        </w:rPr>
        <w:tab/>
        <w:t>Sport rules and regulations</w:t>
      </w:r>
      <w:r>
        <w:rPr>
          <w:rFonts w:cs="Arial"/>
        </w:rPr>
        <w:t xml:space="preserve"> relate to the rules and regulations of the sporting code used for assessment and also the rules and regulations of the specific sporting event used for assessment.</w:t>
      </w:r>
    </w:p>
    <w:p w:rsidR="001301E6" w:rsidRDefault="001301E6" w:rsidP="001301E6">
      <w:pPr>
        <w:keepNext/>
        <w:keepLines/>
        <w:pBdr>
          <w:top w:val="single" w:sz="4" w:space="1" w:color="auto"/>
        </w:pBdr>
        <w:tabs>
          <w:tab w:val="left" w:pos="567"/>
        </w:tabs>
        <w:spacing w:after="0"/>
        <w:rPr>
          <w:rFonts w:cs="Arial"/>
          <w:b/>
          <w:bCs/>
          <w:sz w:val="28"/>
        </w:rPr>
      </w:pPr>
      <w:r>
        <w:rPr>
          <w:b/>
          <w:bCs/>
          <w:sz w:val="28"/>
        </w:rPr>
        <w:t>Outcomes and evidence requirement</w:t>
      </w:r>
      <w:r>
        <w:rPr>
          <w:rFonts w:cs="Arial"/>
          <w:b/>
          <w:bCs/>
          <w:sz w:val="28"/>
        </w:rPr>
        <w:t>s</w:t>
      </w:r>
    </w:p>
    <w:p w:rsidR="001301E6" w:rsidRDefault="001301E6" w:rsidP="001301E6">
      <w:pPr>
        <w:tabs>
          <w:tab w:val="left" w:pos="1134"/>
          <w:tab w:val="left" w:pos="2552"/>
          <w:tab w:val="left" w:pos="7797"/>
        </w:tabs>
        <w:spacing w:after="0"/>
        <w:ind w:left="1123" w:hanging="1123"/>
        <w:rPr>
          <w:rFonts w:cs="Arial"/>
          <w:b/>
        </w:rPr>
      </w:pPr>
      <w:r>
        <w:rPr>
          <w:rFonts w:cs="Arial"/>
          <w:b/>
        </w:rPr>
        <w:t>Outcome 1</w:t>
      </w:r>
    </w:p>
    <w:p w:rsidR="001301E6" w:rsidRDefault="001301E6" w:rsidP="001301E6">
      <w:pPr>
        <w:tabs>
          <w:tab w:val="left" w:pos="-1440"/>
          <w:tab w:val="left" w:pos="-720"/>
        </w:tabs>
        <w:spacing w:after="0"/>
        <w:rPr>
          <w:rFonts w:cs="Arial"/>
        </w:rPr>
      </w:pPr>
      <w:r>
        <w:rPr>
          <w:rFonts w:cs="Arial"/>
        </w:rPr>
        <w:t>Identify information on which to base decisions while officiating in a competitive sports event.</w:t>
      </w:r>
    </w:p>
    <w:p w:rsidR="001301E6" w:rsidRDefault="001301E6" w:rsidP="001301E6">
      <w:pPr>
        <w:tabs>
          <w:tab w:val="left" w:pos="-1440"/>
          <w:tab w:val="left" w:pos="-720"/>
          <w:tab w:val="left" w:pos="1134"/>
          <w:tab w:val="left" w:pos="2551"/>
          <w:tab w:val="left" w:pos="3118"/>
        </w:tabs>
        <w:spacing w:after="0"/>
        <w:ind w:left="1123" w:hanging="1123"/>
        <w:rPr>
          <w:rFonts w:cs="Arial"/>
          <w:b/>
        </w:rPr>
      </w:pPr>
      <w:r>
        <w:rPr>
          <w:rFonts w:cs="Arial"/>
          <w:b/>
        </w:rPr>
        <w:t>Evidence requirements</w:t>
      </w:r>
    </w:p>
    <w:p w:rsidR="001301E6" w:rsidRDefault="001301E6" w:rsidP="001301E6">
      <w:pPr>
        <w:tabs>
          <w:tab w:val="left" w:pos="1134"/>
        </w:tabs>
        <w:spacing w:after="0"/>
        <w:ind w:left="1134" w:hanging="1134"/>
        <w:rPr>
          <w:rFonts w:cs="Arial"/>
        </w:rPr>
      </w:pPr>
      <w:r>
        <w:rPr>
          <w:rFonts w:cs="Arial"/>
        </w:rPr>
        <w:t>1.1</w:t>
      </w:r>
      <w:r>
        <w:rPr>
          <w:rFonts w:cs="Arial"/>
        </w:rPr>
        <w:tab/>
        <w:t>Relevant information is identified by observation of the competitive sports event in accordance with sport rules and regulations.</w:t>
      </w:r>
    </w:p>
    <w:p w:rsidR="001301E6" w:rsidRDefault="001301E6" w:rsidP="001301E6">
      <w:pPr>
        <w:tabs>
          <w:tab w:val="left" w:pos="2551"/>
        </w:tabs>
        <w:spacing w:after="0"/>
        <w:ind w:left="2551" w:hanging="1417"/>
        <w:rPr>
          <w:rFonts w:cs="Arial"/>
        </w:rPr>
      </w:pPr>
      <w:r>
        <w:rPr>
          <w:rFonts w:cs="Arial"/>
        </w:rPr>
        <w:t>Range</w:t>
      </w:r>
      <w:r>
        <w:rPr>
          <w:rFonts w:cs="Arial"/>
        </w:rPr>
        <w:tab/>
        <w:t>information may include but is not limited to – infringements, scoring, participant positioning.</w:t>
      </w:r>
    </w:p>
    <w:p w:rsidR="001301E6" w:rsidRDefault="001301E6" w:rsidP="001301E6">
      <w:pPr>
        <w:tabs>
          <w:tab w:val="left" w:pos="1134"/>
        </w:tabs>
        <w:spacing w:after="0"/>
        <w:ind w:left="1134" w:hanging="1134"/>
        <w:rPr>
          <w:rFonts w:cs="Arial"/>
          <w:b/>
        </w:rPr>
      </w:pPr>
      <w:r>
        <w:rPr>
          <w:rFonts w:cs="Arial"/>
          <w:b/>
        </w:rPr>
        <w:t>Outcome 2</w:t>
      </w:r>
    </w:p>
    <w:p w:rsidR="001301E6" w:rsidRDefault="001301E6" w:rsidP="001301E6">
      <w:pPr>
        <w:tabs>
          <w:tab w:val="left" w:pos="1134"/>
        </w:tabs>
        <w:spacing w:after="0"/>
        <w:rPr>
          <w:rFonts w:cs="Arial"/>
        </w:rPr>
      </w:pPr>
      <w:r>
        <w:rPr>
          <w:rFonts w:cs="Arial"/>
        </w:rPr>
        <w:t>Interpret and apply sport rules and regulations when making decisions while officiating in a competitive sports event.</w:t>
      </w:r>
    </w:p>
    <w:p w:rsidR="001301E6" w:rsidRDefault="001301E6" w:rsidP="001301E6">
      <w:pPr>
        <w:tabs>
          <w:tab w:val="left" w:pos="1134"/>
        </w:tabs>
        <w:spacing w:after="0"/>
        <w:ind w:left="1134" w:hanging="1134"/>
        <w:rPr>
          <w:rFonts w:cs="Arial"/>
          <w:b/>
        </w:rPr>
      </w:pPr>
      <w:r>
        <w:rPr>
          <w:rFonts w:cs="Arial"/>
          <w:b/>
        </w:rPr>
        <w:t>Evidence requirements</w:t>
      </w:r>
    </w:p>
    <w:p w:rsidR="001301E6" w:rsidRDefault="001301E6" w:rsidP="001301E6">
      <w:pPr>
        <w:tabs>
          <w:tab w:val="left" w:pos="1134"/>
        </w:tabs>
        <w:spacing w:after="0"/>
        <w:ind w:left="1134" w:hanging="1134"/>
        <w:rPr>
          <w:rFonts w:cs="Arial"/>
        </w:rPr>
      </w:pPr>
      <w:r>
        <w:rPr>
          <w:rFonts w:cs="Arial"/>
        </w:rPr>
        <w:t>2.1</w:t>
      </w:r>
      <w:r>
        <w:rPr>
          <w:rFonts w:cs="Arial"/>
        </w:rPr>
        <w:tab/>
        <w:t>The appropriate rule or regulation is selected for the given situation in accordance with the sport rules and regulations.</w:t>
      </w:r>
    </w:p>
    <w:p w:rsidR="001301E6" w:rsidRDefault="001301E6" w:rsidP="001301E6">
      <w:pPr>
        <w:tabs>
          <w:tab w:val="left" w:pos="1134"/>
        </w:tabs>
        <w:spacing w:after="0"/>
        <w:ind w:left="1134" w:hanging="1134"/>
        <w:rPr>
          <w:rFonts w:cs="Arial"/>
        </w:rPr>
      </w:pPr>
      <w:r>
        <w:rPr>
          <w:rFonts w:cs="Arial"/>
        </w:rPr>
        <w:t>2.2</w:t>
      </w:r>
      <w:r>
        <w:rPr>
          <w:rFonts w:cs="Arial"/>
        </w:rPr>
        <w:tab/>
        <w:t>The rule or regulation is interpreted for the given situation in accordance with the sport rules and regulations.</w:t>
      </w:r>
    </w:p>
    <w:p w:rsidR="001301E6" w:rsidRDefault="001301E6" w:rsidP="001301E6">
      <w:pPr>
        <w:tabs>
          <w:tab w:val="left" w:pos="1134"/>
        </w:tabs>
        <w:spacing w:after="0"/>
        <w:ind w:left="1134" w:hanging="1134"/>
        <w:rPr>
          <w:rFonts w:cs="Arial"/>
        </w:rPr>
      </w:pPr>
      <w:r>
        <w:rPr>
          <w:rFonts w:cs="Arial"/>
        </w:rPr>
        <w:t>2.3</w:t>
      </w:r>
      <w:r>
        <w:rPr>
          <w:rFonts w:cs="Arial"/>
        </w:rPr>
        <w:tab/>
        <w:t>The rule or regulation is applied for the given situation in accordance with the sport rules and regulations.</w:t>
      </w:r>
    </w:p>
    <w:p w:rsidR="001301E6" w:rsidRDefault="001301E6" w:rsidP="001301E6">
      <w:pPr>
        <w:tabs>
          <w:tab w:val="left" w:pos="1134"/>
        </w:tabs>
        <w:spacing w:after="0"/>
        <w:ind w:left="1134" w:hanging="1134"/>
        <w:rPr>
          <w:rFonts w:cs="Arial"/>
        </w:rPr>
      </w:pPr>
      <w:r>
        <w:rPr>
          <w:rFonts w:cs="Arial"/>
        </w:rPr>
        <w:t>2.4</w:t>
      </w:r>
      <w:r>
        <w:rPr>
          <w:rFonts w:cs="Arial"/>
        </w:rPr>
        <w:tab/>
        <w:t>Decisions are made based on principles of equity and fair play and in accordance with relevant information identified in evidence requirement 1.1 and the sport rules and regulations.</w:t>
      </w:r>
    </w:p>
    <w:p w:rsidR="001301E6" w:rsidRDefault="001301E6" w:rsidP="001301E6">
      <w:pPr>
        <w:tabs>
          <w:tab w:val="left" w:pos="2551"/>
        </w:tabs>
        <w:spacing w:after="0"/>
        <w:ind w:left="2551" w:hanging="1417"/>
        <w:rPr>
          <w:rFonts w:cs="Arial"/>
        </w:rPr>
      </w:pPr>
      <w:r>
        <w:rPr>
          <w:rFonts w:cs="Arial"/>
        </w:rPr>
        <w:t>Range</w:t>
      </w:r>
      <w:r>
        <w:rPr>
          <w:rFonts w:cs="Arial"/>
        </w:rPr>
        <w:tab/>
        <w:t xml:space="preserve">principles of equity and fair play include but are not limited to – consistent interpretation and application of rules and regulations; elimination of biases towards one team, one participant, particular rules, particular regulations, and/or particular techniques; one team </w:t>
      </w:r>
      <w:r>
        <w:rPr>
          <w:rFonts w:cs="Arial"/>
        </w:rPr>
        <w:lastRenderedPageBreak/>
        <w:t>or participant not gaining an unfair advantage over another; appropriateness for level of event; safety.</w:t>
      </w:r>
    </w:p>
    <w:p w:rsidR="001301E6" w:rsidRDefault="001301E6" w:rsidP="001301E6">
      <w:pPr>
        <w:tabs>
          <w:tab w:val="left" w:pos="-1440"/>
          <w:tab w:val="left" w:pos="-720"/>
          <w:tab w:val="left" w:pos="1134"/>
          <w:tab w:val="left" w:pos="2551"/>
          <w:tab w:val="left" w:pos="3118"/>
        </w:tabs>
        <w:spacing w:after="0"/>
        <w:rPr>
          <w:rFonts w:cs="Arial"/>
          <w:b/>
        </w:rPr>
      </w:pPr>
      <w:r>
        <w:rPr>
          <w:rFonts w:cs="Arial"/>
          <w:b/>
        </w:rPr>
        <w:t>Outcome 3</w:t>
      </w:r>
    </w:p>
    <w:p w:rsidR="001301E6" w:rsidRDefault="001301E6" w:rsidP="001301E6">
      <w:pPr>
        <w:tabs>
          <w:tab w:val="left" w:pos="-1440"/>
          <w:tab w:val="left" w:pos="-720"/>
          <w:tab w:val="left" w:pos="1134"/>
          <w:tab w:val="left" w:pos="2551"/>
          <w:tab w:val="left" w:pos="3118"/>
        </w:tabs>
        <w:spacing w:after="0"/>
        <w:rPr>
          <w:rFonts w:cs="Arial"/>
        </w:rPr>
      </w:pPr>
      <w:r>
        <w:rPr>
          <w:rFonts w:cs="Arial"/>
        </w:rPr>
        <w:t>Communicate decisions and manage outcomes of decision-making while officiating in a competitive sports event.</w:t>
      </w:r>
    </w:p>
    <w:p w:rsidR="001301E6" w:rsidRDefault="001301E6" w:rsidP="001301E6">
      <w:pPr>
        <w:tabs>
          <w:tab w:val="left" w:pos="-1440"/>
          <w:tab w:val="left" w:pos="-720"/>
          <w:tab w:val="left" w:pos="1134"/>
          <w:tab w:val="left" w:pos="2551"/>
          <w:tab w:val="left" w:pos="3118"/>
        </w:tabs>
        <w:spacing w:after="0"/>
        <w:ind w:left="1123" w:hanging="1123"/>
        <w:rPr>
          <w:rFonts w:cs="Arial"/>
          <w:b/>
        </w:rPr>
      </w:pPr>
      <w:r>
        <w:rPr>
          <w:rFonts w:cs="Arial"/>
          <w:b/>
        </w:rPr>
        <w:t>Evidence requirements</w:t>
      </w:r>
    </w:p>
    <w:p w:rsidR="001301E6" w:rsidRDefault="001301E6" w:rsidP="001301E6">
      <w:pPr>
        <w:tabs>
          <w:tab w:val="left" w:pos="1134"/>
        </w:tabs>
        <w:spacing w:after="0"/>
        <w:ind w:left="1134" w:hanging="1134"/>
        <w:rPr>
          <w:rFonts w:cs="Arial"/>
        </w:rPr>
      </w:pPr>
      <w:r>
        <w:rPr>
          <w:rFonts w:cs="Arial"/>
        </w:rPr>
        <w:t>3.1</w:t>
      </w:r>
      <w:r>
        <w:rPr>
          <w:rFonts w:cs="Arial"/>
        </w:rPr>
        <w:tab/>
        <w:t>Decisions are communicated in accordance with the rules and regulations of the sport, the specific event regulations, and the level of event.</w:t>
      </w:r>
    </w:p>
    <w:p w:rsidR="001301E6" w:rsidRDefault="001301E6" w:rsidP="001301E6">
      <w:pPr>
        <w:tabs>
          <w:tab w:val="left" w:pos="1134"/>
        </w:tabs>
        <w:spacing w:after="0"/>
        <w:ind w:left="1134" w:hanging="1134"/>
        <w:rPr>
          <w:rFonts w:cs="Arial"/>
        </w:rPr>
      </w:pPr>
      <w:r>
        <w:rPr>
          <w:rFonts w:cs="Arial"/>
        </w:rPr>
        <w:t>3.2</w:t>
      </w:r>
      <w:r>
        <w:rPr>
          <w:rFonts w:cs="Arial"/>
        </w:rPr>
        <w:tab/>
        <w:t>Reactions of participants to decisions are managed in accordance with the rules and regulations of the sport, and the specific event regulations.</w:t>
      </w:r>
    </w:p>
    <w:p w:rsidR="001301E6" w:rsidRDefault="001301E6" w:rsidP="001301E6">
      <w:pPr>
        <w:tabs>
          <w:tab w:val="left" w:pos="2551"/>
        </w:tabs>
        <w:spacing w:after="0"/>
        <w:ind w:left="2552" w:hanging="1418"/>
        <w:rPr>
          <w:rFonts w:cs="Arial"/>
        </w:rPr>
      </w:pPr>
      <w:r>
        <w:rPr>
          <w:rFonts w:cs="Arial"/>
        </w:rPr>
        <w:t>Range</w:t>
      </w:r>
      <w:r>
        <w:rPr>
          <w:rFonts w:cs="Arial"/>
        </w:rPr>
        <w:tab/>
        <w:t>reactions include but are not limited to – queries about decisions, appeals against decisions, abuse towards official and/or opponent, abuse of equipment.</w:t>
      </w:r>
    </w:p>
    <w:p w:rsidR="001301E6" w:rsidRDefault="001301E6" w:rsidP="001301E6">
      <w:pPr>
        <w:tabs>
          <w:tab w:val="left" w:pos="1134"/>
        </w:tabs>
        <w:spacing w:after="0"/>
        <w:ind w:left="1134" w:hanging="1134"/>
        <w:rPr>
          <w:rFonts w:cs="Arial"/>
        </w:rPr>
      </w:pPr>
      <w:r>
        <w:rPr>
          <w:rFonts w:cs="Arial"/>
        </w:rPr>
        <w:t>3.3</w:t>
      </w:r>
      <w:r>
        <w:rPr>
          <w:rFonts w:cs="Arial"/>
        </w:rPr>
        <w:tab/>
        <w:t>Empathy and understanding of the competitive environment appropriate to the nature of the event are demonstrated in terms of managing participant reactions.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gridCol w:w="12"/>
      </w:tblGrid>
      <w:tr w:rsidR="001301E6" w:rsidTr="00C41106">
        <w:trPr>
          <w:cantSplit/>
        </w:trPr>
        <w:tc>
          <w:tcPr>
            <w:tcW w:w="3228" w:type="dxa"/>
            <w:shd w:val="clear" w:color="auto" w:fill="F3F3F3"/>
            <w:tcMar>
              <w:top w:w="170" w:type="dxa"/>
              <w:bottom w:w="170" w:type="dxa"/>
            </w:tcMar>
          </w:tcPr>
          <w:p w:rsidR="001301E6" w:rsidRDefault="001301E6" w:rsidP="001301E6">
            <w:pPr>
              <w:pStyle w:val="StyleBoldBefore6ptAfter6pt"/>
              <w:spacing w:after="0"/>
            </w:pPr>
            <w:r>
              <w:t>Replacement information</w:t>
            </w:r>
          </w:p>
        </w:tc>
        <w:tc>
          <w:tcPr>
            <w:tcW w:w="6626" w:type="dxa"/>
            <w:gridSpan w:val="2"/>
            <w:tcMar>
              <w:top w:w="170" w:type="dxa"/>
              <w:bottom w:w="170" w:type="dxa"/>
            </w:tcMar>
            <w:vAlign w:val="center"/>
          </w:tcPr>
          <w:p w:rsidR="001301E6" w:rsidRDefault="001301E6" w:rsidP="001301E6">
            <w:pPr>
              <w:pStyle w:val="StyleBefore6ptAfter6pt"/>
              <w:spacing w:after="0"/>
            </w:pPr>
            <w:r>
              <w:t>This unit standard replaced unit standard 4879 and unit standard 20674.</w:t>
            </w:r>
          </w:p>
        </w:tc>
      </w:tr>
      <w:tr w:rsidR="001301E6" w:rsidTr="00C41106">
        <w:trPr>
          <w:gridAfter w:val="1"/>
          <w:wAfter w:w="12" w:type="dxa"/>
          <w:cantSplit/>
        </w:trPr>
        <w:tc>
          <w:tcPr>
            <w:tcW w:w="3228" w:type="dxa"/>
            <w:shd w:val="clear" w:color="auto" w:fill="F3F3F3"/>
            <w:tcMar>
              <w:top w:w="170" w:type="dxa"/>
              <w:bottom w:w="170" w:type="dxa"/>
            </w:tcMar>
          </w:tcPr>
          <w:p w:rsidR="001301E6" w:rsidRDefault="001301E6" w:rsidP="001301E6">
            <w:pPr>
              <w:pStyle w:val="StyleBoldBefore6ptAfter6pt"/>
              <w:keepNext/>
              <w:spacing w:before="0" w:after="0"/>
            </w:pPr>
            <w:r>
              <w:t>Planned review date</w:t>
            </w:r>
          </w:p>
        </w:tc>
        <w:tc>
          <w:tcPr>
            <w:tcW w:w="6614" w:type="dxa"/>
            <w:tcMar>
              <w:top w:w="170" w:type="dxa"/>
              <w:bottom w:w="170" w:type="dxa"/>
            </w:tcMar>
            <w:vAlign w:val="center"/>
          </w:tcPr>
          <w:p w:rsidR="001301E6" w:rsidRDefault="001301E6" w:rsidP="001301E6">
            <w:pPr>
              <w:pStyle w:val="StyleBefore6ptAfter6pt"/>
              <w:spacing w:before="0" w:after="0"/>
            </w:pPr>
            <w:r>
              <w:t>31 December 2012</w:t>
            </w:r>
          </w:p>
        </w:tc>
      </w:tr>
    </w:tbl>
    <w:p w:rsidR="001301E6" w:rsidRDefault="001301E6" w:rsidP="001301E6">
      <w:pPr>
        <w:keepNext/>
        <w:shd w:val="clear" w:color="auto" w:fill="F3F3F3"/>
        <w:tabs>
          <w:tab w:val="left" w:pos="1134"/>
          <w:tab w:val="left" w:pos="2552"/>
        </w:tabs>
        <w:spacing w:after="0"/>
        <w:rPr>
          <w:rFonts w:cs="Arial"/>
          <w:b/>
        </w:rPr>
      </w:pPr>
      <w:r>
        <w:rPr>
          <w:rFonts w:cs="Arial"/>
          <w:b/>
        </w:rPr>
        <w:t>Status information and last date for assessment for superseded versions</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2000"/>
        <w:gridCol w:w="1230"/>
        <w:gridCol w:w="3299"/>
        <w:gridCol w:w="546"/>
        <w:gridCol w:w="2167"/>
        <w:gridCol w:w="586"/>
      </w:tblGrid>
      <w:tr w:rsidR="001301E6" w:rsidTr="00C41106">
        <w:trPr>
          <w:cantSplit/>
          <w:tblHeader/>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tcPr>
          <w:p w:rsidR="001301E6" w:rsidRDefault="001301E6" w:rsidP="001301E6">
            <w:pPr>
              <w:keepNext/>
              <w:keepLines/>
              <w:autoSpaceDE w:val="0"/>
              <w:autoSpaceDN w:val="0"/>
              <w:adjustRightInd w:val="0"/>
              <w:spacing w:after="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rsidR="001301E6" w:rsidRDefault="001301E6" w:rsidP="001301E6">
            <w:pPr>
              <w:autoSpaceDE w:val="0"/>
              <w:autoSpaceDN w:val="0"/>
              <w:adjustRightInd w:val="0"/>
              <w:spacing w:after="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rsidR="001301E6" w:rsidRDefault="001301E6" w:rsidP="001301E6">
            <w:pPr>
              <w:autoSpaceDE w:val="0"/>
              <w:autoSpaceDN w:val="0"/>
              <w:adjustRightInd w:val="0"/>
              <w:spacing w:after="0"/>
              <w:rPr>
                <w:rStyle w:val="StyleBold"/>
              </w:rPr>
            </w:pPr>
            <w:r>
              <w:rPr>
                <w:rStyle w:val="StyleBold"/>
              </w:rPr>
              <w:t>Date</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tcPr>
          <w:p w:rsidR="001301E6" w:rsidRDefault="001301E6" w:rsidP="001301E6">
            <w:pPr>
              <w:autoSpaceDE w:val="0"/>
              <w:autoSpaceDN w:val="0"/>
              <w:adjustRightInd w:val="0"/>
              <w:spacing w:after="0"/>
              <w:rPr>
                <w:rStyle w:val="StyleBold"/>
              </w:rPr>
            </w:pPr>
            <w:r>
              <w:rPr>
                <w:rStyle w:val="StyleBold"/>
              </w:rPr>
              <w:t>Last Date for Assessment</w:t>
            </w:r>
          </w:p>
        </w:tc>
      </w:tr>
      <w:tr w:rsidR="001301E6" w:rsidTr="00C41106">
        <w:trPr>
          <w:cantSplit/>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18 June 2010</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31 December 2012</w:t>
            </w:r>
          </w:p>
        </w:tc>
      </w:tr>
      <w:tr w:rsidR="001301E6" w:rsidTr="00C41106">
        <w:trPr>
          <w:cantSplit/>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20 May 2011</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1301E6" w:rsidRDefault="001301E6" w:rsidP="001301E6">
            <w:pPr>
              <w:keepNext/>
              <w:spacing w:after="0"/>
              <w:rPr>
                <w:rFonts w:cs="Arial"/>
              </w:rPr>
            </w:pPr>
            <w:r>
              <w:rPr>
                <w:rFonts w:cs="Arial"/>
              </w:rPr>
              <w:t>N/A</w:t>
            </w:r>
          </w:p>
        </w:tc>
      </w:tr>
      <w:tr w:rsidR="001301E6" w:rsidTr="00C41106">
        <w:tblPrEx>
          <w:tblBorders>
            <w:insideH w:val="single" w:sz="4" w:space="0" w:color="auto"/>
            <w:insideV w:val="single" w:sz="4" w:space="0" w:color="auto"/>
          </w:tblBorders>
        </w:tblPrEx>
        <w:trPr>
          <w:gridBefore w:val="1"/>
          <w:gridAfter w:val="1"/>
          <w:wBefore w:w="34" w:type="dxa"/>
          <w:wAfter w:w="586" w:type="dxa"/>
        </w:trPr>
        <w:tc>
          <w:tcPr>
            <w:tcW w:w="7075" w:type="dxa"/>
            <w:gridSpan w:val="4"/>
            <w:shd w:val="clear" w:color="auto" w:fill="F3F3F3"/>
            <w:tcMar>
              <w:top w:w="60" w:type="dxa"/>
              <w:bottom w:w="60" w:type="dxa"/>
            </w:tcMar>
          </w:tcPr>
          <w:p w:rsidR="001301E6" w:rsidRDefault="001301E6" w:rsidP="001301E6">
            <w:pPr>
              <w:pStyle w:val="StyleBoldBefore6ptAfter6pt"/>
              <w:keepNext/>
              <w:keepLines/>
              <w:spacing w:before="0" w:after="0"/>
            </w:pPr>
            <w:r>
              <w:t>Consent and Moderation Requirements (CMR) reference</w:t>
            </w:r>
          </w:p>
        </w:tc>
        <w:tc>
          <w:tcPr>
            <w:tcW w:w="2167" w:type="dxa"/>
            <w:tcMar>
              <w:top w:w="60" w:type="dxa"/>
              <w:bottom w:w="60" w:type="dxa"/>
            </w:tcMar>
            <w:vAlign w:val="center"/>
          </w:tcPr>
          <w:p w:rsidR="001301E6" w:rsidRDefault="001301E6" w:rsidP="001301E6">
            <w:pPr>
              <w:pStyle w:val="StyleBefore6ptAfter6pt"/>
              <w:keepNext/>
              <w:keepLines/>
              <w:spacing w:before="0" w:after="0"/>
            </w:pPr>
            <w:r>
              <w:t>0099</w:t>
            </w:r>
          </w:p>
        </w:tc>
      </w:tr>
    </w:tbl>
    <w:p w:rsidR="001301E6" w:rsidRDefault="001301E6" w:rsidP="001301E6">
      <w:pPr>
        <w:keepNext/>
        <w:keepLines/>
        <w:spacing w:after="0"/>
        <w:rPr>
          <w:rFonts w:cs="Arial"/>
        </w:rPr>
      </w:pPr>
      <w:r>
        <w:rPr>
          <w:rFonts w:cs="Arial"/>
        </w:rPr>
        <w:t xml:space="preserve">This CMR can be accessed at </w:t>
      </w:r>
      <w:hyperlink r:id="rId8" w:history="1">
        <w:r>
          <w:rPr>
            <w:rStyle w:val="Hyperlink"/>
          </w:rPr>
          <w:t>http://www.nzqa.govt.nz/framework/search/index.do</w:t>
        </w:r>
      </w:hyperlink>
      <w:r>
        <w:rPr>
          <w:rFonts w:cs="Arial"/>
        </w:rPr>
        <w:t>.</w:t>
      </w:r>
    </w:p>
    <w:p w:rsidR="001301E6" w:rsidRDefault="001301E6" w:rsidP="001301E6">
      <w:pPr>
        <w:keepNext/>
        <w:keepLines/>
        <w:spacing w:after="0"/>
        <w:rPr>
          <w:rFonts w:cs="Arial"/>
        </w:rPr>
      </w:pPr>
      <w:r>
        <w:rPr>
          <w:b/>
          <w:bCs/>
        </w:rPr>
        <w:t>Please note</w:t>
      </w:r>
    </w:p>
    <w:p w:rsidR="001301E6" w:rsidRDefault="001301E6" w:rsidP="001301E6">
      <w:pPr>
        <w:keepNext/>
        <w:keepLines/>
        <w:spacing w:after="0"/>
      </w:pPr>
      <w:r>
        <w:t>Providers must be granted consent to assess against standards (accredited) by NZQA, or an inter-institutional body with delegated authority for quality assurance, before they can report credits from assessment against unit standards or deliver courses of study leading to that assessment.</w:t>
      </w:r>
    </w:p>
    <w:p w:rsidR="001301E6" w:rsidRDefault="001301E6" w:rsidP="001301E6">
      <w:pPr>
        <w:spacing w:after="0"/>
      </w:pPr>
      <w:r>
        <w:t>Industry Training Organisations must be granted consent to assess against standards by NZQA before they can register credits from assessment against unit standards.</w:t>
      </w:r>
    </w:p>
    <w:p w:rsidR="001301E6" w:rsidRDefault="001301E6" w:rsidP="001301E6">
      <w:pPr>
        <w:spacing w:after="0"/>
      </w:pPr>
      <w:r>
        <w:t>Providers and Industry Training Organisations, which have been granted consent and which are assessing against unit standards must engage with the moderation system that applies to those standards.</w:t>
      </w:r>
    </w:p>
    <w:p w:rsidR="001301E6" w:rsidRDefault="001301E6" w:rsidP="001301E6">
      <w:pPr>
        <w:spacing w:after="0"/>
      </w:pPr>
      <w:r>
        <w:t>Requirements for consent to assess and an outline of the moderation system that applies to this standard are outlined in the Consent and Moderation Requirements (CMRs).  The CMR also includes useful information about special requirements for organisations wishing to develop education and training programmes, such as minimum qualifications for tutors and assessors, and special resource requirements.</w:t>
      </w:r>
    </w:p>
    <w:p w:rsidR="00C41106" w:rsidRDefault="00C41106" w:rsidP="001301E6">
      <w:pPr>
        <w:tabs>
          <w:tab w:val="center" w:pos="4513"/>
        </w:tabs>
        <w:spacing w:after="0"/>
        <w:rPr>
          <w:rFonts w:cs="Times New Roman"/>
          <w:b/>
          <w:szCs w:val="24"/>
        </w:rPr>
      </w:pPr>
    </w:p>
    <w:p w:rsidR="00C41106" w:rsidRDefault="00C41106" w:rsidP="001301E6">
      <w:pPr>
        <w:tabs>
          <w:tab w:val="center" w:pos="4513"/>
        </w:tabs>
        <w:spacing w:after="0"/>
        <w:rPr>
          <w:rFonts w:cs="Times New Roman"/>
          <w:b/>
          <w:szCs w:val="24"/>
        </w:rPr>
      </w:pPr>
    </w:p>
    <w:tbl>
      <w:tblPr>
        <w:tblStyle w:val="TableGrid"/>
        <w:tblW w:w="0" w:type="auto"/>
        <w:tblLook w:val="04A0" w:firstRow="1" w:lastRow="0" w:firstColumn="1" w:lastColumn="0" w:noHBand="0" w:noVBand="1"/>
      </w:tblPr>
      <w:tblGrid>
        <w:gridCol w:w="817"/>
        <w:gridCol w:w="6599"/>
        <w:gridCol w:w="850"/>
        <w:gridCol w:w="976"/>
      </w:tblGrid>
      <w:tr w:rsidR="00C41106" w:rsidRPr="001301E6" w:rsidTr="00C81D63">
        <w:tc>
          <w:tcPr>
            <w:tcW w:w="817" w:type="dxa"/>
          </w:tcPr>
          <w:p w:rsidR="00C41106" w:rsidRPr="001301E6" w:rsidRDefault="00C41106" w:rsidP="00C81D63">
            <w:pPr>
              <w:tabs>
                <w:tab w:val="center" w:pos="4513"/>
              </w:tabs>
              <w:rPr>
                <w:rFonts w:cs="Times New Roman"/>
                <w:b/>
                <w:szCs w:val="24"/>
              </w:rPr>
            </w:pPr>
            <w:bookmarkStart w:id="0" w:name="_GoBack"/>
            <w:r w:rsidRPr="001301E6">
              <w:rPr>
                <w:rFonts w:cs="Times New Roman"/>
                <w:b/>
                <w:szCs w:val="24"/>
              </w:rPr>
              <w:t>Unit</w:t>
            </w:r>
          </w:p>
        </w:tc>
        <w:tc>
          <w:tcPr>
            <w:tcW w:w="6662" w:type="dxa"/>
          </w:tcPr>
          <w:p w:rsidR="00C41106" w:rsidRPr="001301E6" w:rsidRDefault="00C41106" w:rsidP="00C81D63">
            <w:pPr>
              <w:tabs>
                <w:tab w:val="center" w:pos="4513"/>
              </w:tabs>
              <w:rPr>
                <w:rFonts w:cs="Times New Roman"/>
                <w:b/>
                <w:szCs w:val="24"/>
              </w:rPr>
            </w:pPr>
            <w:r w:rsidRPr="001301E6">
              <w:rPr>
                <w:rFonts w:cs="Times New Roman"/>
                <w:b/>
                <w:szCs w:val="24"/>
              </w:rPr>
              <w:t>Title</w:t>
            </w:r>
          </w:p>
        </w:tc>
        <w:tc>
          <w:tcPr>
            <w:tcW w:w="851" w:type="dxa"/>
          </w:tcPr>
          <w:p w:rsidR="00C41106" w:rsidRPr="001301E6" w:rsidRDefault="00C41106" w:rsidP="00C81D63">
            <w:pPr>
              <w:tabs>
                <w:tab w:val="center" w:pos="4513"/>
              </w:tabs>
              <w:rPr>
                <w:rFonts w:cs="Times New Roman"/>
                <w:b/>
                <w:szCs w:val="24"/>
              </w:rPr>
            </w:pPr>
            <w:r w:rsidRPr="001301E6">
              <w:rPr>
                <w:rFonts w:cs="Times New Roman"/>
                <w:b/>
                <w:szCs w:val="24"/>
              </w:rPr>
              <w:t>Level</w:t>
            </w:r>
          </w:p>
        </w:tc>
        <w:tc>
          <w:tcPr>
            <w:tcW w:w="912" w:type="dxa"/>
          </w:tcPr>
          <w:p w:rsidR="00C41106" w:rsidRPr="001301E6" w:rsidRDefault="00C41106" w:rsidP="00C81D63">
            <w:pPr>
              <w:tabs>
                <w:tab w:val="center" w:pos="4513"/>
              </w:tabs>
              <w:rPr>
                <w:rFonts w:cs="Times New Roman"/>
                <w:b/>
                <w:szCs w:val="24"/>
              </w:rPr>
            </w:pPr>
            <w:r w:rsidRPr="001301E6">
              <w:rPr>
                <w:rFonts w:cs="Times New Roman"/>
                <w:b/>
                <w:szCs w:val="24"/>
              </w:rPr>
              <w:t>Credits</w:t>
            </w:r>
          </w:p>
        </w:tc>
      </w:tr>
      <w:bookmarkEnd w:id="0"/>
      <w:tr w:rsidR="00C41106" w:rsidRPr="001301E6" w:rsidTr="00C81D63">
        <w:tc>
          <w:tcPr>
            <w:tcW w:w="817" w:type="dxa"/>
          </w:tcPr>
          <w:p w:rsidR="00C41106" w:rsidRPr="001301E6" w:rsidRDefault="00C41106" w:rsidP="00C81D63">
            <w:pPr>
              <w:tabs>
                <w:tab w:val="center" w:pos="4513"/>
              </w:tabs>
              <w:rPr>
                <w:rFonts w:cs="Times New Roman"/>
                <w:szCs w:val="24"/>
              </w:rPr>
            </w:pPr>
            <w:r w:rsidRPr="001301E6">
              <w:rPr>
                <w:rFonts w:cs="Times New Roman"/>
                <w:szCs w:val="24"/>
              </w:rPr>
              <w:t>20673</w:t>
            </w:r>
          </w:p>
        </w:tc>
        <w:tc>
          <w:tcPr>
            <w:tcW w:w="6662" w:type="dxa"/>
          </w:tcPr>
          <w:p w:rsidR="00C41106" w:rsidRPr="001301E6" w:rsidRDefault="00C41106" w:rsidP="00C81D63">
            <w:pPr>
              <w:tabs>
                <w:tab w:val="center" w:pos="4513"/>
              </w:tabs>
              <w:rPr>
                <w:rFonts w:cs="Times New Roman"/>
                <w:szCs w:val="24"/>
              </w:rPr>
            </w:pPr>
            <w:r w:rsidRPr="001301E6">
              <w:rPr>
                <w:rFonts w:cs="Times New Roman"/>
                <w:szCs w:val="24"/>
              </w:rPr>
              <w:t>Apply knowledge of injury prevention and management of sport or physical reaction</w:t>
            </w:r>
          </w:p>
        </w:tc>
        <w:tc>
          <w:tcPr>
            <w:tcW w:w="851" w:type="dxa"/>
          </w:tcPr>
          <w:p w:rsidR="00C41106" w:rsidRPr="001301E6" w:rsidRDefault="00C41106" w:rsidP="00C81D63">
            <w:pPr>
              <w:tabs>
                <w:tab w:val="center" w:pos="4513"/>
              </w:tabs>
              <w:rPr>
                <w:rFonts w:cs="Times New Roman"/>
                <w:szCs w:val="24"/>
              </w:rPr>
            </w:pPr>
            <w:r>
              <w:rPr>
                <w:rFonts w:cs="Times New Roman"/>
                <w:szCs w:val="24"/>
              </w:rPr>
              <w:t>3</w:t>
            </w:r>
          </w:p>
        </w:tc>
        <w:tc>
          <w:tcPr>
            <w:tcW w:w="912" w:type="dxa"/>
          </w:tcPr>
          <w:p w:rsidR="00C41106" w:rsidRPr="001301E6" w:rsidRDefault="00C41106" w:rsidP="00C81D63">
            <w:pPr>
              <w:tabs>
                <w:tab w:val="center" w:pos="4513"/>
              </w:tabs>
              <w:rPr>
                <w:rFonts w:cs="Times New Roman"/>
                <w:szCs w:val="24"/>
              </w:rPr>
            </w:pPr>
            <w:r>
              <w:rPr>
                <w:rFonts w:cs="Times New Roman"/>
                <w:szCs w:val="24"/>
              </w:rPr>
              <w:t>4</w:t>
            </w:r>
          </w:p>
        </w:tc>
      </w:tr>
    </w:tbl>
    <w:p w:rsidR="00C41106" w:rsidRDefault="00C41106" w:rsidP="001301E6">
      <w:pPr>
        <w:tabs>
          <w:tab w:val="center" w:pos="4513"/>
        </w:tabs>
        <w:spacing w:after="0"/>
        <w:rPr>
          <w:rFonts w:cs="Times New Roman"/>
          <w:b/>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C41106" w:rsidTr="00C81D63">
        <w:tc>
          <w:tcPr>
            <w:tcW w:w="1731" w:type="dxa"/>
            <w:shd w:val="clear" w:color="auto" w:fill="F3F3F3"/>
            <w:tcMar>
              <w:top w:w="170" w:type="dxa"/>
              <w:bottom w:w="170" w:type="dxa"/>
            </w:tcMar>
          </w:tcPr>
          <w:p w:rsidR="00C41106" w:rsidRDefault="00C41106" w:rsidP="00C81D63">
            <w:pPr>
              <w:pStyle w:val="StyleBoldBefore6ptAfter6pt"/>
              <w:spacing w:before="0" w:after="0"/>
            </w:pPr>
            <w:r>
              <w:t>Title</w:t>
            </w:r>
          </w:p>
        </w:tc>
        <w:tc>
          <w:tcPr>
            <w:tcW w:w="8097" w:type="dxa"/>
            <w:gridSpan w:val="3"/>
            <w:tcMar>
              <w:top w:w="170" w:type="dxa"/>
              <w:bottom w:w="170" w:type="dxa"/>
            </w:tcMar>
            <w:vAlign w:val="center"/>
          </w:tcPr>
          <w:p w:rsidR="00C41106" w:rsidRDefault="00C41106" w:rsidP="00C81D63">
            <w:pPr>
              <w:rPr>
                <w:b/>
              </w:rPr>
            </w:pPr>
            <w:r>
              <w:rPr>
                <w:b/>
              </w:rPr>
              <w:t>Demonstrate knowledge of injury prevention and risk and injury management in sport or recreation</w:t>
            </w:r>
          </w:p>
        </w:tc>
      </w:tr>
      <w:tr w:rsidR="00C41106" w:rsidTr="00C81D63">
        <w:tc>
          <w:tcPr>
            <w:tcW w:w="1731" w:type="dxa"/>
            <w:shd w:val="clear" w:color="auto" w:fill="F3F3F3"/>
            <w:tcMar>
              <w:top w:w="170" w:type="dxa"/>
              <w:bottom w:w="170" w:type="dxa"/>
            </w:tcMar>
          </w:tcPr>
          <w:p w:rsidR="00C41106" w:rsidRDefault="00C41106" w:rsidP="00C81D63">
            <w:pPr>
              <w:pStyle w:val="StyleBoldBefore6ptAfter6pt"/>
              <w:spacing w:before="0" w:after="0"/>
            </w:pPr>
            <w:r>
              <w:t>Level</w:t>
            </w:r>
          </w:p>
        </w:tc>
        <w:tc>
          <w:tcPr>
            <w:tcW w:w="3177" w:type="dxa"/>
            <w:tcMar>
              <w:top w:w="170" w:type="dxa"/>
              <w:bottom w:w="170" w:type="dxa"/>
            </w:tcMar>
            <w:vAlign w:val="center"/>
          </w:tcPr>
          <w:p w:rsidR="00C41106" w:rsidRDefault="00C41106" w:rsidP="00C81D63">
            <w:pPr>
              <w:rPr>
                <w:b/>
              </w:rPr>
            </w:pPr>
            <w:r>
              <w:rPr>
                <w:b/>
              </w:rPr>
              <w:t>3</w:t>
            </w:r>
          </w:p>
        </w:tc>
        <w:tc>
          <w:tcPr>
            <w:tcW w:w="1729" w:type="dxa"/>
            <w:shd w:val="clear" w:color="auto" w:fill="F3F3F3"/>
            <w:tcMar>
              <w:top w:w="170" w:type="dxa"/>
              <w:bottom w:w="170" w:type="dxa"/>
            </w:tcMar>
          </w:tcPr>
          <w:p w:rsidR="00C41106" w:rsidRDefault="00C41106" w:rsidP="00C81D63">
            <w:pPr>
              <w:rPr>
                <w:b/>
                <w:color w:val="000000"/>
              </w:rPr>
            </w:pPr>
            <w:r>
              <w:rPr>
                <w:b/>
              </w:rPr>
              <w:t>Credits</w:t>
            </w:r>
          </w:p>
        </w:tc>
        <w:tc>
          <w:tcPr>
            <w:tcW w:w="3575" w:type="dxa"/>
            <w:tcMar>
              <w:top w:w="170" w:type="dxa"/>
              <w:bottom w:w="170" w:type="dxa"/>
            </w:tcMar>
            <w:vAlign w:val="center"/>
          </w:tcPr>
          <w:p w:rsidR="00C41106" w:rsidRDefault="00C41106" w:rsidP="00C81D63">
            <w:pPr>
              <w:rPr>
                <w:b/>
              </w:rPr>
            </w:pPr>
            <w:r>
              <w:rPr>
                <w:b/>
              </w:rPr>
              <w:t>4</w:t>
            </w:r>
          </w:p>
        </w:tc>
      </w:tr>
    </w:tbl>
    <w:p w:rsidR="00C41106" w:rsidRDefault="00C41106" w:rsidP="00C41106"/>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C41106" w:rsidTr="00C41106">
        <w:tc>
          <w:tcPr>
            <w:tcW w:w="2868" w:type="dxa"/>
            <w:shd w:val="clear" w:color="auto" w:fill="F3F3F3"/>
            <w:tcMar>
              <w:top w:w="170" w:type="dxa"/>
              <w:bottom w:w="170" w:type="dxa"/>
            </w:tcMar>
          </w:tcPr>
          <w:p w:rsidR="00C41106" w:rsidRDefault="00C41106" w:rsidP="00C81D63">
            <w:pPr>
              <w:pStyle w:val="StyleBoldBefore6ptAfter6pt"/>
              <w:spacing w:before="0" w:after="0"/>
            </w:pPr>
            <w:r>
              <w:rPr>
                <w:bCs w:val="0"/>
              </w:rPr>
              <w:t>Purpose</w:t>
            </w:r>
          </w:p>
        </w:tc>
        <w:tc>
          <w:tcPr>
            <w:tcW w:w="6974" w:type="dxa"/>
            <w:tcMar>
              <w:top w:w="170" w:type="dxa"/>
              <w:bottom w:w="170" w:type="dxa"/>
            </w:tcMar>
            <w:vAlign w:val="center"/>
          </w:tcPr>
          <w:p w:rsidR="00C41106" w:rsidRDefault="00C41106" w:rsidP="00C81D63">
            <w:pPr>
              <w:tabs>
                <w:tab w:val="left" w:pos="1418"/>
              </w:tabs>
            </w:pPr>
            <w:r>
              <w:rPr>
                <w:rFonts w:cs="Arial"/>
                <w:color w:val="000000"/>
              </w:rPr>
              <w:t>People credited with this unit standard are able to describe: factors involved in the cause of injuries that may occur while participating in sport or physical recreation and methods for their prevention and/or minimisation of risk; methods for managing hazards and risks related to a selected sport or physical recreation; and injury management for a selected sport or physical recreation.</w:t>
            </w:r>
          </w:p>
        </w:tc>
      </w:tr>
      <w:tr w:rsidR="00C41106" w:rsidTr="00C41106">
        <w:tc>
          <w:tcPr>
            <w:tcW w:w="2868" w:type="dxa"/>
            <w:shd w:val="clear" w:color="auto" w:fill="F3F3F3"/>
            <w:tcMar>
              <w:top w:w="170" w:type="dxa"/>
              <w:bottom w:w="170" w:type="dxa"/>
            </w:tcMar>
          </w:tcPr>
          <w:p w:rsidR="00C41106" w:rsidRDefault="00C41106" w:rsidP="00C81D63">
            <w:pPr>
              <w:pStyle w:val="StyleBoldBefore6ptAfter6pt"/>
              <w:spacing w:before="0" w:after="0"/>
              <w:rPr>
                <w:bCs w:val="0"/>
              </w:rPr>
            </w:pPr>
            <w:r>
              <w:rPr>
                <w:bCs w:val="0"/>
              </w:rPr>
              <w:t>Classification</w:t>
            </w:r>
          </w:p>
        </w:tc>
        <w:tc>
          <w:tcPr>
            <w:tcW w:w="6974" w:type="dxa"/>
            <w:tcMar>
              <w:top w:w="170" w:type="dxa"/>
              <w:bottom w:w="170" w:type="dxa"/>
            </w:tcMar>
            <w:vAlign w:val="center"/>
          </w:tcPr>
          <w:p w:rsidR="00C41106" w:rsidRDefault="00C41106" w:rsidP="00C81D63">
            <w:r>
              <w:t>Recreation and Sport &gt; Recreation and Sport - Coaching and Instruction</w:t>
            </w:r>
          </w:p>
        </w:tc>
      </w:tr>
      <w:tr w:rsidR="00C41106" w:rsidTr="00C41106">
        <w:tc>
          <w:tcPr>
            <w:tcW w:w="2868" w:type="dxa"/>
            <w:shd w:val="clear" w:color="auto" w:fill="F3F3F3"/>
            <w:tcMar>
              <w:top w:w="170" w:type="dxa"/>
              <w:bottom w:w="170" w:type="dxa"/>
            </w:tcMar>
          </w:tcPr>
          <w:p w:rsidR="00C41106" w:rsidRDefault="00C41106" w:rsidP="00C81D63">
            <w:pPr>
              <w:pStyle w:val="StyleBoldBefore6ptAfter6pt"/>
              <w:spacing w:before="0" w:after="0"/>
              <w:rPr>
                <w:bCs w:val="0"/>
              </w:rPr>
            </w:pPr>
            <w:r>
              <w:rPr>
                <w:bCs w:val="0"/>
              </w:rPr>
              <w:t>Available grade</w:t>
            </w:r>
          </w:p>
        </w:tc>
        <w:tc>
          <w:tcPr>
            <w:tcW w:w="6974" w:type="dxa"/>
            <w:tcMar>
              <w:top w:w="170" w:type="dxa"/>
              <w:bottom w:w="170" w:type="dxa"/>
            </w:tcMar>
          </w:tcPr>
          <w:p w:rsidR="00C41106" w:rsidRDefault="00C41106" w:rsidP="00C81D63">
            <w:r>
              <w:t>Achieved</w:t>
            </w:r>
          </w:p>
        </w:tc>
      </w:tr>
    </w:tbl>
    <w:p w:rsidR="00C41106" w:rsidRDefault="00C41106" w:rsidP="00C41106">
      <w:pPr>
        <w:pBdr>
          <w:top w:val="single" w:sz="4" w:space="1" w:color="auto"/>
        </w:pBdr>
        <w:tabs>
          <w:tab w:val="left" w:pos="567"/>
        </w:tabs>
        <w:spacing w:after="0"/>
        <w:rPr>
          <w:rFonts w:cs="Arial"/>
          <w:b/>
          <w:bCs/>
          <w:szCs w:val="24"/>
        </w:rPr>
      </w:pPr>
      <w:r>
        <w:rPr>
          <w:rFonts w:cs="Arial"/>
          <w:b/>
          <w:bCs/>
          <w:szCs w:val="24"/>
        </w:rPr>
        <w:t>Explanatory notes</w:t>
      </w:r>
    </w:p>
    <w:p w:rsidR="00C41106" w:rsidRDefault="00C41106" w:rsidP="00C41106">
      <w:pPr>
        <w:tabs>
          <w:tab w:val="left" w:pos="567"/>
          <w:tab w:val="left" w:pos="1134"/>
          <w:tab w:val="left" w:pos="1417"/>
        </w:tabs>
        <w:spacing w:after="0"/>
        <w:ind w:left="567" w:hanging="567"/>
        <w:rPr>
          <w:rFonts w:cs="Arial"/>
          <w:color w:val="000000"/>
        </w:rPr>
      </w:pPr>
      <w:r>
        <w:rPr>
          <w:rFonts w:cs="Arial"/>
          <w:color w:val="000000"/>
        </w:rPr>
        <w:t>1</w:t>
      </w:r>
      <w:r>
        <w:rPr>
          <w:rFonts w:cs="Arial"/>
          <w:color w:val="000000"/>
        </w:rPr>
        <w:tab/>
        <w:t xml:space="preserve">The principles of injury prevention and management applied in this unit standard are taken from and follow the ACC </w:t>
      </w:r>
      <w:proofErr w:type="spellStart"/>
      <w:r>
        <w:rPr>
          <w:rFonts w:cs="Arial"/>
          <w:color w:val="000000"/>
        </w:rPr>
        <w:t>SportSmart</w:t>
      </w:r>
      <w:proofErr w:type="spellEnd"/>
      <w:r>
        <w:rPr>
          <w:rFonts w:cs="Arial"/>
          <w:color w:val="000000"/>
        </w:rPr>
        <w:t xml:space="preserve"> 10-point action plan for sports injury prevention and management.  ACC </w:t>
      </w:r>
      <w:proofErr w:type="spellStart"/>
      <w:r>
        <w:rPr>
          <w:rFonts w:cs="Arial"/>
          <w:color w:val="000000"/>
        </w:rPr>
        <w:t>SportSmart</w:t>
      </w:r>
      <w:proofErr w:type="spellEnd"/>
      <w:r>
        <w:rPr>
          <w:rFonts w:cs="Arial"/>
          <w:color w:val="000000"/>
        </w:rPr>
        <w:t xml:space="preserve"> resources may be found online at </w:t>
      </w:r>
      <w:hyperlink r:id="rId9" w:history="1">
        <w:r>
          <w:rPr>
            <w:rStyle w:val="Hyperlink"/>
            <w:rFonts w:cs="Arial"/>
          </w:rPr>
          <w:t>http://www.acc.co.nz/sportsmart</w:t>
        </w:r>
      </w:hyperlink>
      <w:r>
        <w:rPr>
          <w:rFonts w:cs="Arial"/>
          <w:color w:val="000000"/>
        </w:rPr>
        <w:t xml:space="preserve"> or at Regional Sports Trusts and public libraries.</w:t>
      </w:r>
    </w:p>
    <w:p w:rsidR="00C41106" w:rsidRDefault="00C41106" w:rsidP="00C41106">
      <w:pPr>
        <w:tabs>
          <w:tab w:val="left" w:pos="567"/>
          <w:tab w:val="left" w:pos="1134"/>
          <w:tab w:val="left" w:pos="1417"/>
        </w:tabs>
        <w:spacing w:after="0"/>
        <w:ind w:left="567" w:hanging="567"/>
        <w:rPr>
          <w:rFonts w:cs="Arial"/>
          <w:color w:val="000000"/>
        </w:rPr>
      </w:pPr>
      <w:r>
        <w:rPr>
          <w:rFonts w:cs="Arial"/>
          <w:color w:val="000000"/>
        </w:rPr>
        <w:t>2</w:t>
      </w:r>
      <w:r>
        <w:rPr>
          <w:rFonts w:cs="Arial"/>
          <w:color w:val="000000"/>
        </w:rPr>
        <w:tab/>
        <w:t xml:space="preserve">In the context of this unit standard, </w:t>
      </w:r>
      <w:r>
        <w:rPr>
          <w:rFonts w:cs="Arial"/>
          <w:i/>
          <w:color w:val="000000"/>
        </w:rPr>
        <w:t>injury prevention</w:t>
      </w:r>
      <w:r>
        <w:rPr>
          <w:rFonts w:cs="Arial"/>
          <w:color w:val="000000"/>
        </w:rPr>
        <w:t xml:space="preserve"> refers to methods used to reduce the risk of injury in terms of likelihood and severity.</w:t>
      </w:r>
    </w:p>
    <w:p w:rsidR="00C41106" w:rsidRDefault="00C41106" w:rsidP="00C41106">
      <w:pPr>
        <w:tabs>
          <w:tab w:val="left" w:pos="567"/>
          <w:tab w:val="left" w:pos="1134"/>
          <w:tab w:val="left" w:pos="1417"/>
        </w:tabs>
        <w:spacing w:after="0"/>
        <w:ind w:left="567" w:hanging="567"/>
        <w:rPr>
          <w:rFonts w:cs="Arial"/>
        </w:rPr>
      </w:pPr>
      <w:r>
        <w:rPr>
          <w:rFonts w:cs="Arial"/>
          <w:color w:val="000000"/>
        </w:rPr>
        <w:t>3</w:t>
      </w:r>
      <w:r>
        <w:rPr>
          <w:rFonts w:cs="Arial"/>
          <w:color w:val="000000"/>
        </w:rPr>
        <w:tab/>
        <w:t>For sport coaches, t</w:t>
      </w:r>
      <w:r>
        <w:rPr>
          <w:rFonts w:cs="Arial"/>
        </w:rPr>
        <w:t xml:space="preserve">his unit standard relates to </w:t>
      </w:r>
      <w:r>
        <w:rPr>
          <w:rFonts w:cs="Arial"/>
          <w:i/>
        </w:rPr>
        <w:t>sports medicine</w:t>
      </w:r>
      <w:r>
        <w:rPr>
          <w:rFonts w:cs="Arial"/>
        </w:rPr>
        <w:t xml:space="preserve"> in </w:t>
      </w:r>
      <w:r>
        <w:rPr>
          <w:rFonts w:cs="Arial"/>
          <w:i/>
        </w:rPr>
        <w:t>Self Development Module 3: Sport Science,</w:t>
      </w:r>
      <w:r>
        <w:rPr>
          <w:rFonts w:cs="Arial"/>
        </w:rPr>
        <w:t xml:space="preserve"> and injury prevention (Screening Forms), safe sporting environment including risk assessment and management process, current practice in dealing with soft tissue injuries, an emergency plan, and injuries and medical conditions in </w:t>
      </w:r>
      <w:r>
        <w:rPr>
          <w:rFonts w:cs="Arial"/>
          <w:i/>
        </w:rPr>
        <w:t>Programme Management Module 4: Coach Smart</w:t>
      </w:r>
      <w:r>
        <w:rPr>
          <w:rFonts w:cs="Arial"/>
        </w:rPr>
        <w:t xml:space="preserve">; both in the Sport and Recreation New Zealand (SPARC) </w:t>
      </w:r>
      <w:r>
        <w:rPr>
          <w:rFonts w:cs="Arial"/>
          <w:i/>
        </w:rPr>
        <w:t>Coach Development Framework</w:t>
      </w:r>
      <w:r>
        <w:rPr>
          <w:rFonts w:cs="Arial"/>
        </w:rPr>
        <w:t xml:space="preserve"> summary document ‘Coach Development Framework – Developing Coach Learning Outcomes’ </w:t>
      </w:r>
      <w:r>
        <w:rPr>
          <w:rFonts w:cs="Arial"/>
        </w:rPr>
        <w:lastRenderedPageBreak/>
        <w:t xml:space="preserve">available at </w:t>
      </w:r>
      <w:hyperlink r:id="rId10" w:history="1">
        <w:r>
          <w:rPr>
            <w:rStyle w:val="Hyperlink"/>
            <w:rFonts w:cs="Arial"/>
            <w:szCs w:val="24"/>
          </w:rPr>
          <w:t>http://www.sparc.org.nz/en-nz/Search/?q=developing+coaching+learning+outcomes</w:t>
        </w:r>
      </w:hyperlink>
      <w:r>
        <w:rPr>
          <w:rFonts w:cs="Arial"/>
          <w:color w:val="1F497D"/>
          <w:szCs w:val="24"/>
        </w:rPr>
        <w:t xml:space="preserve">. </w:t>
      </w:r>
    </w:p>
    <w:p w:rsidR="00C41106" w:rsidRDefault="00C41106" w:rsidP="00C41106">
      <w:pPr>
        <w:tabs>
          <w:tab w:val="left" w:pos="567"/>
          <w:tab w:val="left" w:pos="1134"/>
          <w:tab w:val="left" w:pos="1417"/>
        </w:tabs>
        <w:spacing w:after="0"/>
        <w:ind w:left="567" w:hanging="567"/>
        <w:rPr>
          <w:rFonts w:cs="Arial"/>
        </w:rPr>
      </w:pPr>
    </w:p>
    <w:p w:rsidR="00C41106" w:rsidRDefault="00C41106" w:rsidP="00C41106">
      <w:pPr>
        <w:tabs>
          <w:tab w:val="left" w:pos="567"/>
          <w:tab w:val="left" w:pos="1134"/>
          <w:tab w:val="left" w:pos="1417"/>
        </w:tabs>
        <w:spacing w:after="0"/>
        <w:ind w:left="567" w:hanging="567"/>
        <w:rPr>
          <w:rFonts w:cs="Arial"/>
          <w:color w:val="1F497D"/>
          <w:szCs w:val="24"/>
        </w:rPr>
      </w:pPr>
      <w:r>
        <w:rPr>
          <w:rFonts w:cs="Arial"/>
        </w:rPr>
        <w:tab/>
        <w:t xml:space="preserve">A PDF copy of the SPARC </w:t>
      </w:r>
      <w:r>
        <w:rPr>
          <w:rFonts w:cs="Arial"/>
          <w:i/>
        </w:rPr>
        <w:t>Coach Development Framework</w:t>
      </w:r>
      <w:r>
        <w:rPr>
          <w:rFonts w:cs="Arial"/>
        </w:rPr>
        <w:t xml:space="preserve"> booklet is available at </w:t>
      </w:r>
      <w:hyperlink r:id="rId11" w:history="1">
        <w:r>
          <w:rPr>
            <w:rStyle w:val="Hyperlink"/>
            <w:rFonts w:cs="Arial"/>
            <w:szCs w:val="24"/>
          </w:rPr>
          <w:t>http://www.sparc.org.nz/en-nz/communities-and-clubs/Coaching/Coach-Development--Education/Coach-Development-Framework1/</w:t>
        </w:r>
      </w:hyperlink>
      <w:r>
        <w:rPr>
          <w:rFonts w:cs="Arial"/>
          <w:color w:val="1F497D"/>
          <w:szCs w:val="24"/>
        </w:rPr>
        <w:t>.</w:t>
      </w:r>
    </w:p>
    <w:p w:rsidR="00C41106" w:rsidRDefault="00C41106" w:rsidP="00C41106">
      <w:pPr>
        <w:keepNext/>
        <w:keepLines/>
        <w:tabs>
          <w:tab w:val="left" w:pos="567"/>
          <w:tab w:val="left" w:pos="1134"/>
          <w:tab w:val="left" w:pos="1417"/>
        </w:tabs>
        <w:spacing w:after="0"/>
        <w:ind w:left="567" w:hanging="567"/>
        <w:rPr>
          <w:rFonts w:cs="Arial"/>
        </w:rPr>
      </w:pPr>
      <w:r>
        <w:rPr>
          <w:rFonts w:cs="Arial"/>
        </w:rPr>
        <w:tab/>
        <w:t xml:space="preserve">In addition, SPARC has developed learning support materials that may be useful to national sport organisations and others in designing coach development programmes related to the Coach Development Framework learning outcomes.  These materials are not intended to be used directly for assessment purposes against unit standards.  Links to these learning support materials are listed in relation to Coach Development Framework learning areas in a table beneath the heading ‘Coach Development Modules – Learning Resources and Materials’ at </w:t>
      </w:r>
      <w:hyperlink r:id="rId12" w:history="1">
        <w:r>
          <w:rPr>
            <w:rStyle w:val="Hyperlink"/>
            <w:rFonts w:cs="Arial"/>
          </w:rPr>
          <w:t>http://www.sparc.org.nz/en-nz/communities-and-clubs/Coaching/Coach-Development--Education/Framework-programme-materials/Coach-Development-Modules---Learning-Resources-and-Materials/</w:t>
        </w:r>
      </w:hyperlink>
      <w:r>
        <w:rPr>
          <w:rFonts w:cs="Arial"/>
        </w:rPr>
        <w:t>.</w:t>
      </w:r>
    </w:p>
    <w:p w:rsidR="00C41106" w:rsidRDefault="00C41106" w:rsidP="00C41106">
      <w:pPr>
        <w:tabs>
          <w:tab w:val="left" w:pos="567"/>
          <w:tab w:val="left" w:pos="1134"/>
          <w:tab w:val="left" w:pos="1417"/>
        </w:tabs>
        <w:spacing w:after="0"/>
        <w:ind w:left="567" w:hanging="567"/>
        <w:rPr>
          <w:rFonts w:cs="Arial"/>
          <w:color w:val="000000"/>
        </w:rPr>
      </w:pPr>
      <w:r>
        <w:rPr>
          <w:rFonts w:cs="Arial"/>
          <w:color w:val="000000"/>
        </w:rPr>
        <w:t>4</w:t>
      </w:r>
      <w:r>
        <w:rPr>
          <w:rFonts w:cs="Arial"/>
          <w:color w:val="000000"/>
        </w:rPr>
        <w:tab/>
        <w:t>Definition</w:t>
      </w:r>
    </w:p>
    <w:p w:rsidR="00C41106" w:rsidRDefault="00C41106" w:rsidP="00C41106">
      <w:pPr>
        <w:tabs>
          <w:tab w:val="left" w:pos="567"/>
          <w:tab w:val="left" w:pos="1134"/>
          <w:tab w:val="left" w:pos="1417"/>
        </w:tabs>
        <w:spacing w:after="0"/>
        <w:ind w:left="567" w:hanging="567"/>
        <w:rPr>
          <w:rFonts w:cs="Arial"/>
          <w:color w:val="000000"/>
        </w:rPr>
      </w:pPr>
      <w:r>
        <w:rPr>
          <w:rFonts w:cs="Arial"/>
          <w:i/>
          <w:color w:val="000000"/>
        </w:rPr>
        <w:tab/>
        <w:t>Avoidance of HARM-</w:t>
      </w:r>
      <w:proofErr w:type="spellStart"/>
      <w:r>
        <w:rPr>
          <w:rFonts w:cs="Arial"/>
          <w:i/>
          <w:color w:val="000000"/>
        </w:rPr>
        <w:t>ful</w:t>
      </w:r>
      <w:proofErr w:type="spellEnd"/>
      <w:r>
        <w:rPr>
          <w:rFonts w:cs="Arial"/>
          <w:i/>
          <w:color w:val="000000"/>
        </w:rPr>
        <w:t xml:space="preserve"> factors</w:t>
      </w:r>
      <w:r>
        <w:rPr>
          <w:rFonts w:cs="Arial"/>
          <w:color w:val="000000"/>
        </w:rPr>
        <w:t xml:space="preserve"> refers to avoidance of heat, alcohol, running, and massage in the 72 hour period after an injury.</w:t>
      </w:r>
    </w:p>
    <w:p w:rsidR="00C41106" w:rsidRDefault="00C41106" w:rsidP="00C41106">
      <w:pPr>
        <w:tabs>
          <w:tab w:val="left" w:pos="567"/>
        </w:tabs>
        <w:spacing w:after="0"/>
        <w:rPr>
          <w:rFonts w:cs="Arial"/>
        </w:rPr>
      </w:pPr>
    </w:p>
    <w:p w:rsidR="00C41106" w:rsidRDefault="00C41106" w:rsidP="00C41106">
      <w:pPr>
        <w:pBdr>
          <w:top w:val="single" w:sz="4" w:space="1" w:color="auto"/>
        </w:pBdr>
        <w:tabs>
          <w:tab w:val="left" w:pos="567"/>
        </w:tabs>
        <w:spacing w:after="0"/>
        <w:rPr>
          <w:rFonts w:cs="Arial"/>
          <w:b/>
          <w:bCs/>
          <w:sz w:val="28"/>
        </w:rPr>
      </w:pPr>
      <w:r>
        <w:rPr>
          <w:b/>
          <w:bCs/>
          <w:sz w:val="28"/>
        </w:rPr>
        <w:t>Outcomes and evidence requirement</w:t>
      </w:r>
      <w:r>
        <w:rPr>
          <w:rFonts w:cs="Arial"/>
          <w:b/>
          <w:bCs/>
          <w:sz w:val="28"/>
        </w:rPr>
        <w:t>s</w:t>
      </w:r>
    </w:p>
    <w:p w:rsidR="00C41106" w:rsidRDefault="00C41106" w:rsidP="00C41106">
      <w:pPr>
        <w:tabs>
          <w:tab w:val="left" w:pos="1134"/>
          <w:tab w:val="left" w:pos="2552"/>
          <w:tab w:val="left" w:pos="7797"/>
        </w:tabs>
        <w:spacing w:after="0"/>
        <w:ind w:left="1123" w:hanging="1123"/>
        <w:rPr>
          <w:rFonts w:cs="Arial"/>
          <w:b/>
        </w:rPr>
      </w:pPr>
      <w:r>
        <w:rPr>
          <w:rFonts w:cs="Arial"/>
          <w:b/>
        </w:rPr>
        <w:t>Outcome 1</w:t>
      </w:r>
    </w:p>
    <w:p w:rsidR="00C41106" w:rsidRDefault="00C41106" w:rsidP="00C41106">
      <w:pPr>
        <w:tabs>
          <w:tab w:val="left" w:pos="1134"/>
          <w:tab w:val="left" w:pos="2552"/>
        </w:tabs>
        <w:spacing w:after="0"/>
        <w:rPr>
          <w:rFonts w:cs="Arial"/>
          <w:color w:val="000000"/>
        </w:rPr>
      </w:pPr>
      <w:r>
        <w:rPr>
          <w:rFonts w:cs="Arial"/>
          <w:color w:val="000000"/>
        </w:rPr>
        <w:t>Describe factors involved in the cause of injuries that may occur while participating in sport or physical recreation and methods for their prevention and/or minimisation of risk.</w:t>
      </w:r>
    </w:p>
    <w:p w:rsidR="00C41106" w:rsidRDefault="00C41106" w:rsidP="00C41106">
      <w:pPr>
        <w:tabs>
          <w:tab w:val="left" w:pos="1134"/>
          <w:tab w:val="left" w:pos="2552"/>
        </w:tabs>
        <w:spacing w:after="0"/>
        <w:ind w:left="1123" w:hanging="1123"/>
        <w:rPr>
          <w:rFonts w:cs="Arial"/>
          <w:b/>
          <w:color w:val="000000"/>
        </w:rPr>
      </w:pPr>
      <w:r>
        <w:rPr>
          <w:rFonts w:cs="Arial"/>
          <w:b/>
          <w:color w:val="000000"/>
        </w:rPr>
        <w:t>Evidence requirements</w:t>
      </w:r>
    </w:p>
    <w:p w:rsidR="00C41106" w:rsidRDefault="00C41106" w:rsidP="00C41106">
      <w:pPr>
        <w:tabs>
          <w:tab w:val="left" w:pos="1134"/>
        </w:tabs>
        <w:spacing w:after="0"/>
        <w:ind w:left="1134" w:hanging="1134"/>
        <w:rPr>
          <w:rFonts w:cs="Arial"/>
          <w:color w:val="000000"/>
        </w:rPr>
      </w:pPr>
      <w:r>
        <w:rPr>
          <w:rFonts w:cs="Arial"/>
          <w:color w:val="000000"/>
        </w:rPr>
        <w:t>1.1</w:t>
      </w:r>
      <w:r>
        <w:rPr>
          <w:rFonts w:cs="Arial"/>
          <w:color w:val="000000"/>
        </w:rPr>
        <w:tab/>
        <w:t>Possible causes of injury that may occur while participating in sport or physical recreation are described.</w:t>
      </w:r>
    </w:p>
    <w:p w:rsidR="00C41106" w:rsidRDefault="00C41106" w:rsidP="00C41106">
      <w:pPr>
        <w:tabs>
          <w:tab w:val="left" w:pos="1134"/>
          <w:tab w:val="left" w:pos="2551"/>
        </w:tabs>
        <w:spacing w:after="0"/>
        <w:ind w:left="2551" w:hanging="1417"/>
        <w:rPr>
          <w:rFonts w:cs="Arial"/>
          <w:color w:val="000000"/>
        </w:rPr>
      </w:pPr>
      <w:r>
        <w:rPr>
          <w:rFonts w:cs="Arial"/>
          <w:color w:val="000000"/>
        </w:rPr>
        <w:t>Range</w:t>
      </w:r>
      <w:r>
        <w:rPr>
          <w:rFonts w:cs="Arial"/>
          <w:color w:val="000000"/>
        </w:rPr>
        <w:tab/>
        <w:t xml:space="preserve">possible causes of injury may include but are not limited to – </w:t>
      </w:r>
    </w:p>
    <w:p w:rsidR="00C41106" w:rsidRDefault="00C41106" w:rsidP="00C41106">
      <w:pPr>
        <w:tabs>
          <w:tab w:val="left" w:pos="0"/>
          <w:tab w:val="left" w:pos="1134"/>
          <w:tab w:val="left" w:pos="2551"/>
        </w:tabs>
        <w:spacing w:after="0"/>
        <w:ind w:left="2551"/>
        <w:rPr>
          <w:rFonts w:cs="Arial"/>
        </w:rPr>
      </w:pPr>
      <w:proofErr w:type="gramStart"/>
      <w:r>
        <w:rPr>
          <w:rFonts w:cs="Arial"/>
        </w:rPr>
        <w:t>force</w:t>
      </w:r>
      <w:proofErr w:type="gramEnd"/>
      <w:r>
        <w:rPr>
          <w:rFonts w:cs="Arial"/>
        </w:rPr>
        <w:t xml:space="preserve"> application – internal, external, sudden onset (acute); overuse (chronic); climatic factors; factors in the participation environment.</w:t>
      </w:r>
    </w:p>
    <w:p w:rsidR="00C41106" w:rsidRDefault="00C41106" w:rsidP="00C41106">
      <w:pPr>
        <w:tabs>
          <w:tab w:val="left" w:pos="1134"/>
        </w:tabs>
        <w:spacing w:after="0"/>
        <w:ind w:left="1134" w:hanging="1134"/>
        <w:rPr>
          <w:rFonts w:cs="Arial"/>
          <w:color w:val="000000"/>
        </w:rPr>
      </w:pPr>
      <w:r>
        <w:rPr>
          <w:rFonts w:cs="Arial"/>
          <w:color w:val="000000"/>
        </w:rPr>
        <w:t>1.2</w:t>
      </w:r>
      <w:r>
        <w:rPr>
          <w:rFonts w:cs="Arial"/>
          <w:color w:val="000000"/>
        </w:rPr>
        <w:tab/>
        <w:t>Types of injuries that may occur while participating in sport or physical recreation are described.</w:t>
      </w:r>
    </w:p>
    <w:p w:rsidR="00C41106" w:rsidRDefault="00C41106" w:rsidP="00C41106">
      <w:pPr>
        <w:tabs>
          <w:tab w:val="left" w:pos="1134"/>
          <w:tab w:val="left" w:pos="2551"/>
        </w:tabs>
        <w:spacing w:after="0"/>
        <w:ind w:left="2551" w:hanging="1417"/>
        <w:rPr>
          <w:rFonts w:cs="Arial"/>
          <w:color w:val="000000"/>
        </w:rPr>
      </w:pPr>
      <w:r>
        <w:rPr>
          <w:rFonts w:cs="Arial"/>
          <w:color w:val="000000"/>
        </w:rPr>
        <w:t>Range</w:t>
      </w:r>
      <w:r>
        <w:rPr>
          <w:rFonts w:cs="Arial"/>
          <w:color w:val="000000"/>
        </w:rPr>
        <w:tab/>
        <w:t xml:space="preserve">injuries may include but are not limited to – soft tissue, hard tissue, </w:t>
      </w:r>
      <w:proofErr w:type="gramStart"/>
      <w:r>
        <w:rPr>
          <w:rFonts w:cs="Arial"/>
          <w:color w:val="000000"/>
        </w:rPr>
        <w:t>head</w:t>
      </w:r>
      <w:proofErr w:type="gramEnd"/>
      <w:r>
        <w:rPr>
          <w:rFonts w:cs="Arial"/>
          <w:color w:val="000000"/>
        </w:rPr>
        <w:t>, spinal.</w:t>
      </w:r>
    </w:p>
    <w:p w:rsidR="00C41106" w:rsidRDefault="00C41106" w:rsidP="00C41106">
      <w:pPr>
        <w:tabs>
          <w:tab w:val="left" w:pos="1134"/>
        </w:tabs>
        <w:spacing w:after="0"/>
        <w:ind w:left="1134" w:hanging="1134"/>
        <w:rPr>
          <w:rFonts w:cs="Arial"/>
          <w:color w:val="000000"/>
        </w:rPr>
      </w:pPr>
      <w:r>
        <w:rPr>
          <w:rFonts w:cs="Arial"/>
          <w:color w:val="000000"/>
        </w:rPr>
        <w:t>1.3</w:t>
      </w:r>
      <w:r>
        <w:rPr>
          <w:rFonts w:cs="Arial"/>
          <w:color w:val="000000"/>
        </w:rPr>
        <w:tab/>
        <w:t>Methods for preventing and/or minimising the risk of injury are described in relation to sport or physical recreation.</w:t>
      </w:r>
    </w:p>
    <w:p w:rsidR="00C41106" w:rsidRDefault="00C41106" w:rsidP="00C41106">
      <w:pPr>
        <w:tabs>
          <w:tab w:val="left" w:pos="1134"/>
          <w:tab w:val="left" w:pos="2551"/>
        </w:tabs>
        <w:spacing w:after="0"/>
        <w:ind w:left="2551" w:hanging="1417"/>
        <w:rPr>
          <w:rFonts w:cs="Arial"/>
        </w:rPr>
      </w:pPr>
      <w:r>
        <w:rPr>
          <w:rFonts w:cs="Arial"/>
          <w:color w:val="000000"/>
        </w:rPr>
        <w:t>Range</w:t>
      </w:r>
      <w:r>
        <w:rPr>
          <w:rFonts w:cs="Arial"/>
          <w:color w:val="000000"/>
        </w:rPr>
        <w:tab/>
      </w:r>
      <w:r>
        <w:rPr>
          <w:rFonts w:cs="Arial"/>
        </w:rPr>
        <w:t>methods of preventing and/or minimising the risk of injury may include but are not limited to – screening; warm up, cool down and stretch; personal preparation and conditioning; correct skill execution and technique; adherence to rules; safe equipment; protective equipment and clothing; hydration and nutrition; managing the environment.</w:t>
      </w:r>
    </w:p>
    <w:p w:rsidR="00C41106" w:rsidRDefault="00C41106" w:rsidP="00C41106">
      <w:pPr>
        <w:keepNext/>
        <w:keepLines/>
        <w:tabs>
          <w:tab w:val="left" w:pos="1134"/>
          <w:tab w:val="left" w:pos="2552"/>
        </w:tabs>
        <w:spacing w:after="0"/>
        <w:rPr>
          <w:rFonts w:cs="Arial"/>
          <w:b/>
          <w:color w:val="000000"/>
        </w:rPr>
      </w:pPr>
      <w:r>
        <w:rPr>
          <w:rFonts w:cs="Arial"/>
          <w:b/>
          <w:color w:val="000000"/>
        </w:rPr>
        <w:lastRenderedPageBreak/>
        <w:t>Outcome 2</w:t>
      </w:r>
    </w:p>
    <w:p w:rsidR="00C41106" w:rsidRDefault="00C41106" w:rsidP="00C41106">
      <w:pPr>
        <w:keepNext/>
        <w:keepLines/>
        <w:tabs>
          <w:tab w:val="left" w:pos="1134"/>
          <w:tab w:val="left" w:pos="2552"/>
        </w:tabs>
        <w:spacing w:after="0"/>
        <w:rPr>
          <w:rFonts w:cs="Arial"/>
          <w:color w:val="000000"/>
        </w:rPr>
      </w:pPr>
      <w:r>
        <w:rPr>
          <w:rFonts w:cs="Arial"/>
          <w:color w:val="000000"/>
        </w:rPr>
        <w:t>Describe methods for managing hazards and risks related to a selected sport or physical recreation.</w:t>
      </w:r>
    </w:p>
    <w:p w:rsidR="00C41106" w:rsidRDefault="00C41106" w:rsidP="00C41106">
      <w:pPr>
        <w:tabs>
          <w:tab w:val="left" w:pos="1134"/>
          <w:tab w:val="left" w:pos="2552"/>
        </w:tabs>
        <w:spacing w:after="0"/>
        <w:ind w:left="1123" w:hanging="1123"/>
        <w:rPr>
          <w:rFonts w:cs="Arial"/>
          <w:color w:val="000000"/>
          <w:u w:val="single"/>
        </w:rPr>
      </w:pPr>
    </w:p>
    <w:p w:rsidR="00C41106" w:rsidRDefault="00C41106" w:rsidP="00C41106">
      <w:pPr>
        <w:tabs>
          <w:tab w:val="left" w:pos="1134"/>
          <w:tab w:val="left" w:pos="2552"/>
        </w:tabs>
        <w:spacing w:after="0"/>
        <w:ind w:left="1123" w:hanging="1123"/>
        <w:rPr>
          <w:rFonts w:cs="Arial"/>
          <w:b/>
          <w:color w:val="000000"/>
        </w:rPr>
      </w:pPr>
      <w:r>
        <w:rPr>
          <w:rFonts w:cs="Arial"/>
          <w:b/>
          <w:color w:val="000000"/>
        </w:rPr>
        <w:t>Evidence requirements</w:t>
      </w:r>
    </w:p>
    <w:p w:rsidR="00C41106" w:rsidRDefault="00C41106" w:rsidP="00C41106">
      <w:pPr>
        <w:tabs>
          <w:tab w:val="left" w:pos="1134"/>
        </w:tabs>
        <w:spacing w:after="0"/>
        <w:ind w:left="1134" w:hanging="1134"/>
        <w:rPr>
          <w:rFonts w:cs="Arial"/>
        </w:rPr>
      </w:pPr>
      <w:r>
        <w:rPr>
          <w:rFonts w:cs="Arial"/>
        </w:rPr>
        <w:t>2.1</w:t>
      </w:r>
      <w:r>
        <w:rPr>
          <w:rFonts w:cs="Arial"/>
        </w:rPr>
        <w:tab/>
        <w:t>Gathering and maintenance of information relevant to maintaining participants’ safety for the selected sport or physical recreation is described.</w:t>
      </w:r>
    </w:p>
    <w:p w:rsidR="00C41106" w:rsidRDefault="00C41106" w:rsidP="00C41106">
      <w:pPr>
        <w:tabs>
          <w:tab w:val="left" w:pos="1134"/>
          <w:tab w:val="left" w:pos="2551"/>
        </w:tabs>
        <w:spacing w:after="0"/>
        <w:ind w:left="2551" w:hanging="1417"/>
        <w:rPr>
          <w:rFonts w:cs="Arial"/>
        </w:rPr>
      </w:pPr>
      <w:r>
        <w:rPr>
          <w:rFonts w:cs="Arial"/>
        </w:rPr>
        <w:t>Range</w:t>
      </w:r>
      <w:r>
        <w:rPr>
          <w:rFonts w:cs="Arial"/>
        </w:rPr>
        <w:tab/>
        <w:t>contact information;</w:t>
      </w:r>
    </w:p>
    <w:p w:rsidR="00C41106" w:rsidRDefault="00C41106" w:rsidP="00C41106">
      <w:pPr>
        <w:tabs>
          <w:tab w:val="left" w:pos="1134"/>
          <w:tab w:val="left" w:pos="2551"/>
        </w:tabs>
        <w:spacing w:after="0"/>
        <w:ind w:left="2551" w:hanging="1417"/>
        <w:rPr>
          <w:rFonts w:cs="Arial"/>
        </w:rPr>
      </w:pPr>
      <w:r>
        <w:rPr>
          <w:rFonts w:cs="Arial"/>
        </w:rPr>
        <w:tab/>
      </w:r>
      <w:proofErr w:type="gramStart"/>
      <w:r>
        <w:rPr>
          <w:rFonts w:cs="Arial"/>
        </w:rPr>
        <w:t>may</w:t>
      </w:r>
      <w:proofErr w:type="gramEnd"/>
      <w:r>
        <w:rPr>
          <w:rFonts w:cs="Arial"/>
        </w:rPr>
        <w:t xml:space="preserve"> include but is not limited to – screening forms, permissions from parents or guardians, health conditions, medications, special needs.</w:t>
      </w:r>
    </w:p>
    <w:p w:rsidR="00C41106" w:rsidRDefault="00C41106" w:rsidP="00C41106">
      <w:pPr>
        <w:tabs>
          <w:tab w:val="left" w:pos="1134"/>
        </w:tabs>
        <w:spacing w:after="0"/>
        <w:ind w:left="1134" w:hanging="1134"/>
        <w:rPr>
          <w:rFonts w:cs="Arial"/>
          <w:color w:val="000000"/>
        </w:rPr>
      </w:pPr>
      <w:r>
        <w:rPr>
          <w:rFonts w:cs="Arial"/>
          <w:color w:val="000000"/>
        </w:rPr>
        <w:t>2.2</w:t>
      </w:r>
      <w:r>
        <w:rPr>
          <w:rFonts w:cs="Arial"/>
          <w:color w:val="000000"/>
        </w:rPr>
        <w:tab/>
        <w:t>Potential hazards and risks in relation to the selected sport or physical recreation are described.</w:t>
      </w:r>
    </w:p>
    <w:p w:rsidR="00C41106" w:rsidRDefault="00C41106" w:rsidP="00C41106">
      <w:pPr>
        <w:tabs>
          <w:tab w:val="left" w:pos="1134"/>
          <w:tab w:val="left" w:pos="2551"/>
        </w:tabs>
        <w:spacing w:after="0"/>
        <w:ind w:left="2551" w:hanging="1417"/>
        <w:rPr>
          <w:rFonts w:cs="Arial"/>
          <w:color w:val="000000"/>
        </w:rPr>
      </w:pPr>
      <w:r>
        <w:rPr>
          <w:rFonts w:cs="Arial"/>
        </w:rPr>
        <w:t>Range</w:t>
      </w:r>
      <w:r>
        <w:rPr>
          <w:rFonts w:cs="Arial"/>
        </w:rPr>
        <w:tab/>
      </w:r>
      <w:r>
        <w:rPr>
          <w:rFonts w:cs="Arial"/>
          <w:color w:val="000000"/>
        </w:rPr>
        <w:t>hazards and risks include those relating to – equipment; people (self and others); environment (including physical environment and climate).</w:t>
      </w:r>
    </w:p>
    <w:p w:rsidR="00C41106" w:rsidRDefault="00C41106" w:rsidP="00C41106">
      <w:pPr>
        <w:tabs>
          <w:tab w:val="left" w:pos="1134"/>
        </w:tabs>
        <w:spacing w:after="0"/>
        <w:ind w:left="1134" w:hanging="1134"/>
        <w:rPr>
          <w:rFonts w:cs="Arial"/>
          <w:color w:val="000000"/>
        </w:rPr>
      </w:pPr>
      <w:r>
        <w:rPr>
          <w:rFonts w:cs="Arial"/>
          <w:color w:val="000000"/>
        </w:rPr>
        <w:t>2.3</w:t>
      </w:r>
      <w:r>
        <w:rPr>
          <w:rFonts w:cs="Arial"/>
          <w:color w:val="000000"/>
        </w:rPr>
        <w:tab/>
        <w:t>Causal factors leading to the identified hazards and risks are described in relation to the selected sport or physical recreation.</w:t>
      </w:r>
    </w:p>
    <w:p w:rsidR="00C41106" w:rsidRDefault="00C41106" w:rsidP="00C41106">
      <w:pPr>
        <w:tabs>
          <w:tab w:val="left" w:pos="1134"/>
        </w:tabs>
        <w:spacing w:after="0"/>
        <w:ind w:left="1134" w:hanging="1134"/>
        <w:rPr>
          <w:rFonts w:cs="Arial"/>
          <w:color w:val="000000"/>
        </w:rPr>
      </w:pPr>
      <w:r>
        <w:rPr>
          <w:rFonts w:cs="Arial"/>
          <w:color w:val="000000"/>
        </w:rPr>
        <w:t>2.4</w:t>
      </w:r>
      <w:r>
        <w:rPr>
          <w:rFonts w:cs="Arial"/>
          <w:color w:val="000000"/>
        </w:rPr>
        <w:tab/>
        <w:t>Methods of managing the identified hazards and risks are described in relation to the selected sport or physical recreation.</w:t>
      </w:r>
    </w:p>
    <w:p w:rsidR="00C41106" w:rsidRDefault="00C41106" w:rsidP="00C41106">
      <w:pPr>
        <w:tabs>
          <w:tab w:val="left" w:pos="1134"/>
          <w:tab w:val="left" w:pos="2551"/>
        </w:tabs>
        <w:spacing w:after="0"/>
        <w:ind w:left="2551" w:hanging="1417"/>
        <w:rPr>
          <w:rFonts w:cs="Arial"/>
          <w:color w:val="000000"/>
        </w:rPr>
      </w:pPr>
      <w:r>
        <w:rPr>
          <w:rFonts w:cs="Arial"/>
        </w:rPr>
        <w:t>Range</w:t>
      </w:r>
      <w:r>
        <w:rPr>
          <w:rFonts w:cs="Arial"/>
        </w:rPr>
        <w:tab/>
      </w:r>
      <w:r>
        <w:rPr>
          <w:rFonts w:cs="Arial"/>
          <w:color w:val="000000"/>
        </w:rPr>
        <w:t>management includes – elimination, isolation, or minimisation; hazard control.</w:t>
      </w:r>
    </w:p>
    <w:p w:rsidR="00C41106" w:rsidRDefault="00C41106" w:rsidP="00C41106">
      <w:pPr>
        <w:tabs>
          <w:tab w:val="left" w:pos="1134"/>
        </w:tabs>
        <w:spacing w:after="0"/>
        <w:ind w:left="1134" w:hanging="1134"/>
        <w:rPr>
          <w:rFonts w:cs="Arial"/>
        </w:rPr>
      </w:pPr>
      <w:r>
        <w:rPr>
          <w:rFonts w:cs="Arial"/>
        </w:rPr>
        <w:t>2.5</w:t>
      </w:r>
      <w:r>
        <w:rPr>
          <w:rFonts w:cs="Arial"/>
        </w:rPr>
        <w:tab/>
        <w:t>The maintenance of an emergency plan and its communication to participants in relation to the selected sport or physical recreation is described.</w:t>
      </w:r>
    </w:p>
    <w:p w:rsidR="00C41106" w:rsidRDefault="00C41106" w:rsidP="00C41106">
      <w:pPr>
        <w:tabs>
          <w:tab w:val="left" w:pos="1134"/>
          <w:tab w:val="left" w:pos="2551"/>
        </w:tabs>
        <w:spacing w:after="0"/>
        <w:ind w:left="2551" w:hanging="1417"/>
        <w:rPr>
          <w:rFonts w:cs="Arial"/>
        </w:rPr>
      </w:pPr>
      <w:r>
        <w:rPr>
          <w:rFonts w:cs="Arial"/>
        </w:rPr>
        <w:t>Range</w:t>
      </w:r>
      <w:r>
        <w:rPr>
          <w:rFonts w:cs="Arial"/>
        </w:rPr>
        <w:tab/>
        <w:t>includes but is not limited to – telecommunication, emergency service information, site information, emergency access.</w:t>
      </w:r>
    </w:p>
    <w:p w:rsidR="00C41106" w:rsidRDefault="00C41106" w:rsidP="00C41106">
      <w:pPr>
        <w:tabs>
          <w:tab w:val="left" w:pos="1134"/>
          <w:tab w:val="left" w:pos="2552"/>
        </w:tabs>
        <w:spacing w:after="0"/>
        <w:ind w:left="1123" w:hanging="1123"/>
        <w:rPr>
          <w:rFonts w:cs="Arial"/>
          <w:b/>
          <w:color w:val="000000"/>
        </w:rPr>
      </w:pPr>
      <w:r>
        <w:rPr>
          <w:rFonts w:cs="Arial"/>
          <w:b/>
          <w:color w:val="000000"/>
        </w:rPr>
        <w:t>Outcome 3</w:t>
      </w:r>
    </w:p>
    <w:p w:rsidR="00C41106" w:rsidRDefault="00C41106" w:rsidP="00C41106">
      <w:pPr>
        <w:tabs>
          <w:tab w:val="left" w:pos="1134"/>
          <w:tab w:val="left" w:pos="2552"/>
        </w:tabs>
        <w:spacing w:after="0"/>
        <w:rPr>
          <w:rFonts w:cs="Arial"/>
          <w:color w:val="000000"/>
        </w:rPr>
      </w:pPr>
      <w:r>
        <w:rPr>
          <w:rFonts w:cs="Arial"/>
          <w:color w:val="000000"/>
        </w:rPr>
        <w:t>Describe injury management for a selected sport or physical recreation.</w:t>
      </w:r>
    </w:p>
    <w:p w:rsidR="00C41106" w:rsidRDefault="00C41106" w:rsidP="00C41106">
      <w:pPr>
        <w:tabs>
          <w:tab w:val="left" w:pos="1134"/>
          <w:tab w:val="left" w:pos="2552"/>
        </w:tabs>
        <w:spacing w:after="0"/>
        <w:ind w:left="1123" w:hanging="1123"/>
        <w:rPr>
          <w:rFonts w:cs="Arial"/>
          <w:b/>
          <w:color w:val="000000"/>
        </w:rPr>
      </w:pPr>
      <w:r>
        <w:rPr>
          <w:rFonts w:cs="Arial"/>
          <w:b/>
          <w:color w:val="000000"/>
        </w:rPr>
        <w:t>Evidence requirements</w:t>
      </w:r>
    </w:p>
    <w:p w:rsidR="00C41106" w:rsidRDefault="00C41106" w:rsidP="00C41106">
      <w:pPr>
        <w:tabs>
          <w:tab w:val="left" w:pos="1134"/>
        </w:tabs>
        <w:spacing w:after="0"/>
        <w:ind w:left="1134" w:hanging="1134"/>
        <w:rPr>
          <w:rFonts w:cs="Arial"/>
          <w:color w:val="000000"/>
        </w:rPr>
      </w:pPr>
      <w:r>
        <w:rPr>
          <w:rFonts w:cs="Arial"/>
          <w:color w:val="000000"/>
        </w:rPr>
        <w:t>3.1</w:t>
      </w:r>
      <w:r>
        <w:rPr>
          <w:rFonts w:cs="Arial"/>
          <w:color w:val="000000"/>
        </w:rPr>
        <w:tab/>
        <w:t>Methods of managing injury are described in relation to sport or physical recreation.</w:t>
      </w:r>
    </w:p>
    <w:p w:rsidR="00C41106" w:rsidRDefault="00C41106" w:rsidP="00C41106">
      <w:pPr>
        <w:tabs>
          <w:tab w:val="left" w:pos="1134"/>
          <w:tab w:val="left" w:pos="2551"/>
        </w:tabs>
        <w:spacing w:after="0"/>
        <w:ind w:left="2551" w:hanging="1417"/>
        <w:rPr>
          <w:rFonts w:cs="Arial"/>
          <w:color w:val="000000"/>
        </w:rPr>
      </w:pPr>
      <w:r>
        <w:rPr>
          <w:rFonts w:cs="Arial"/>
          <w:color w:val="000000"/>
        </w:rPr>
        <w:t>Range</w:t>
      </w:r>
      <w:r>
        <w:rPr>
          <w:rFonts w:cs="Arial"/>
          <w:color w:val="000000"/>
        </w:rPr>
        <w:tab/>
        <w:t>primary assessment; initial management; avoidance of HARM-</w:t>
      </w:r>
      <w:proofErr w:type="spellStart"/>
      <w:r>
        <w:rPr>
          <w:rFonts w:cs="Arial"/>
          <w:color w:val="000000"/>
        </w:rPr>
        <w:t>ful</w:t>
      </w:r>
      <w:proofErr w:type="spellEnd"/>
      <w:r>
        <w:rPr>
          <w:rFonts w:cs="Arial"/>
          <w:i/>
          <w:color w:val="000000"/>
        </w:rPr>
        <w:t xml:space="preserve"> </w:t>
      </w:r>
      <w:r>
        <w:rPr>
          <w:rFonts w:cs="Arial"/>
          <w:color w:val="000000"/>
        </w:rPr>
        <w:t>factors;</w:t>
      </w:r>
    </w:p>
    <w:p w:rsidR="00C41106" w:rsidRDefault="00C41106" w:rsidP="00C41106">
      <w:pPr>
        <w:tabs>
          <w:tab w:val="left" w:pos="1134"/>
          <w:tab w:val="left" w:pos="2551"/>
        </w:tabs>
        <w:spacing w:after="0"/>
        <w:ind w:left="2551" w:hanging="1417"/>
        <w:rPr>
          <w:rFonts w:cs="Arial"/>
          <w:color w:val="000000"/>
        </w:rPr>
      </w:pPr>
      <w:r>
        <w:rPr>
          <w:rFonts w:cs="Arial"/>
          <w:color w:val="000000"/>
        </w:rPr>
        <w:tab/>
      </w:r>
      <w:proofErr w:type="spellStart"/>
      <w:proofErr w:type="gramStart"/>
      <w:r>
        <w:rPr>
          <w:rFonts w:cs="Arial"/>
          <w:color w:val="000000"/>
        </w:rPr>
        <w:t>ongoing</w:t>
      </w:r>
      <w:proofErr w:type="spellEnd"/>
      <w:proofErr w:type="gramEnd"/>
      <w:r>
        <w:rPr>
          <w:rFonts w:cs="Arial"/>
          <w:color w:val="000000"/>
        </w:rPr>
        <w:t xml:space="preserve"> management – medical assessment, progressive stages of rehabilitation, requirements for return to sport.</w:t>
      </w:r>
    </w:p>
    <w:p w:rsidR="00C41106" w:rsidRDefault="00C41106" w:rsidP="00C41106">
      <w:pPr>
        <w:tabs>
          <w:tab w:val="left" w:pos="1134"/>
        </w:tabs>
        <w:spacing w:after="0"/>
        <w:ind w:left="1134" w:hanging="1134"/>
        <w:rPr>
          <w:rFonts w:cs="Arial"/>
          <w:color w:val="000000"/>
        </w:rPr>
      </w:pPr>
      <w:r>
        <w:rPr>
          <w:rFonts w:cs="Arial"/>
          <w:color w:val="000000"/>
        </w:rPr>
        <w:t>3.2</w:t>
      </w:r>
      <w:r>
        <w:rPr>
          <w:rFonts w:cs="Arial"/>
          <w:color w:val="000000"/>
        </w:rPr>
        <w:tab/>
        <w:t>Types of injuries common to the selected sport or physical recreation are described.</w:t>
      </w:r>
    </w:p>
    <w:p w:rsidR="00C41106" w:rsidRDefault="00C41106" w:rsidP="00C41106">
      <w:pPr>
        <w:tabs>
          <w:tab w:val="left" w:pos="1134"/>
        </w:tabs>
        <w:spacing w:after="0"/>
        <w:ind w:left="1134" w:hanging="1134"/>
        <w:rPr>
          <w:rFonts w:cs="Arial"/>
          <w:color w:val="000000"/>
        </w:rPr>
      </w:pPr>
      <w:r>
        <w:rPr>
          <w:rFonts w:cs="Arial"/>
          <w:color w:val="000000"/>
        </w:rPr>
        <w:t>3.3</w:t>
      </w:r>
      <w:r>
        <w:rPr>
          <w:rFonts w:cs="Arial"/>
          <w:color w:val="000000"/>
        </w:rPr>
        <w:tab/>
        <w:t>Management steps for identified injuries common to the selected sport or physical recreation are described.</w:t>
      </w:r>
    </w:p>
    <w:p w:rsidR="00C41106" w:rsidRDefault="00C41106" w:rsidP="00C41106">
      <w:pPr>
        <w:tabs>
          <w:tab w:val="left" w:pos="1134"/>
          <w:tab w:val="left" w:pos="2551"/>
        </w:tabs>
        <w:spacing w:after="0"/>
        <w:ind w:left="2551" w:hanging="1417"/>
        <w:rPr>
          <w:rFonts w:cs="Arial"/>
          <w:color w:val="000000"/>
        </w:rPr>
      </w:pPr>
      <w:r>
        <w:rPr>
          <w:rFonts w:cs="Arial"/>
        </w:rPr>
        <w:t>Range</w:t>
      </w:r>
      <w:r>
        <w:rPr>
          <w:rFonts w:cs="Arial"/>
        </w:rPr>
        <w:tab/>
      </w:r>
      <w:r>
        <w:rPr>
          <w:rFonts w:cs="Arial"/>
          <w:color w:val="000000"/>
        </w:rPr>
        <w:t>two of the common injuries identified.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C41106" w:rsidTr="00C41106">
        <w:trPr>
          <w:cantSplit/>
        </w:trPr>
        <w:tc>
          <w:tcPr>
            <w:tcW w:w="3228" w:type="dxa"/>
            <w:shd w:val="clear" w:color="auto" w:fill="F3F3F3"/>
            <w:tcMar>
              <w:top w:w="170" w:type="dxa"/>
              <w:bottom w:w="170" w:type="dxa"/>
            </w:tcMar>
          </w:tcPr>
          <w:p w:rsidR="00C41106" w:rsidRDefault="00C41106" w:rsidP="00C41106">
            <w:pPr>
              <w:pStyle w:val="StyleBoldBefore6ptAfter6pt"/>
              <w:keepNext/>
              <w:spacing w:before="0" w:after="0"/>
            </w:pPr>
            <w:r>
              <w:t>Planned review date</w:t>
            </w:r>
          </w:p>
        </w:tc>
        <w:tc>
          <w:tcPr>
            <w:tcW w:w="6614" w:type="dxa"/>
            <w:tcMar>
              <w:top w:w="170" w:type="dxa"/>
              <w:bottom w:w="170" w:type="dxa"/>
            </w:tcMar>
            <w:vAlign w:val="center"/>
          </w:tcPr>
          <w:p w:rsidR="00C41106" w:rsidRDefault="00C41106" w:rsidP="00C41106">
            <w:pPr>
              <w:pStyle w:val="StyleBefore6ptAfter6pt"/>
              <w:spacing w:before="0" w:after="0"/>
            </w:pPr>
            <w:r>
              <w:t>31 December 2012</w:t>
            </w:r>
          </w:p>
        </w:tc>
      </w:tr>
    </w:tbl>
    <w:p w:rsidR="00C41106" w:rsidRDefault="00C41106" w:rsidP="00C41106">
      <w:pPr>
        <w:spacing w:after="0"/>
      </w:pPr>
    </w:p>
    <w:p w:rsidR="00C41106" w:rsidRDefault="00C41106" w:rsidP="00C41106">
      <w:pPr>
        <w:keepNext/>
        <w:shd w:val="clear" w:color="auto" w:fill="F3F3F3"/>
        <w:tabs>
          <w:tab w:val="left" w:pos="1134"/>
          <w:tab w:val="left" w:pos="2552"/>
        </w:tabs>
        <w:spacing w:after="0"/>
        <w:rPr>
          <w:rFonts w:cs="Arial"/>
          <w:b/>
        </w:rPr>
      </w:pPr>
      <w:r>
        <w:rPr>
          <w:rFonts w:cs="Arial"/>
          <w:b/>
        </w:rPr>
        <w:lastRenderedPageBreak/>
        <w:t>Status information and last date for assessment for superseded versions</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2000"/>
        <w:gridCol w:w="1230"/>
        <w:gridCol w:w="3299"/>
        <w:gridCol w:w="546"/>
        <w:gridCol w:w="2167"/>
        <w:gridCol w:w="586"/>
      </w:tblGrid>
      <w:tr w:rsidR="00C41106" w:rsidTr="00C41106">
        <w:trPr>
          <w:cantSplit/>
          <w:tblHeader/>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tcPr>
          <w:p w:rsidR="00C41106" w:rsidRDefault="00C41106" w:rsidP="00C41106">
            <w:pPr>
              <w:keepNext/>
              <w:keepLines/>
              <w:autoSpaceDE w:val="0"/>
              <w:autoSpaceDN w:val="0"/>
              <w:adjustRightInd w:val="0"/>
              <w:spacing w:after="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rsidR="00C41106" w:rsidRDefault="00C41106" w:rsidP="00C41106">
            <w:pPr>
              <w:autoSpaceDE w:val="0"/>
              <w:autoSpaceDN w:val="0"/>
              <w:adjustRightInd w:val="0"/>
              <w:spacing w:after="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rsidR="00C41106" w:rsidRDefault="00C41106" w:rsidP="00C41106">
            <w:pPr>
              <w:autoSpaceDE w:val="0"/>
              <w:autoSpaceDN w:val="0"/>
              <w:adjustRightInd w:val="0"/>
              <w:spacing w:after="0"/>
              <w:rPr>
                <w:rStyle w:val="StyleBold"/>
              </w:rPr>
            </w:pPr>
            <w:r>
              <w:rPr>
                <w:rStyle w:val="StyleBold"/>
              </w:rPr>
              <w:t>Date</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tcPr>
          <w:p w:rsidR="00C41106" w:rsidRDefault="00C41106" w:rsidP="00C41106">
            <w:pPr>
              <w:autoSpaceDE w:val="0"/>
              <w:autoSpaceDN w:val="0"/>
              <w:adjustRightInd w:val="0"/>
              <w:spacing w:after="0"/>
              <w:rPr>
                <w:rStyle w:val="StyleBold"/>
              </w:rPr>
            </w:pPr>
            <w:r>
              <w:rPr>
                <w:rStyle w:val="StyleBold"/>
              </w:rPr>
              <w:t>Last Date for Assessment</w:t>
            </w:r>
          </w:p>
        </w:tc>
      </w:tr>
      <w:tr w:rsidR="00C41106" w:rsidTr="00C41106">
        <w:trPr>
          <w:cantSplit/>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22 September 2004</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31 December 2012</w:t>
            </w:r>
          </w:p>
        </w:tc>
      </w:tr>
      <w:tr w:rsidR="00C41106" w:rsidTr="00C41106">
        <w:trPr>
          <w:cantSplit/>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16 April 2010</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31 December 2012</w:t>
            </w:r>
          </w:p>
        </w:tc>
      </w:tr>
      <w:tr w:rsidR="00C41106" w:rsidTr="00C41106">
        <w:trPr>
          <w:cantSplit/>
        </w:trPr>
        <w:tc>
          <w:tcPr>
            <w:tcW w:w="2034" w:type="dxa"/>
            <w:gridSpan w:val="2"/>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20 May 2011</w:t>
            </w:r>
          </w:p>
        </w:tc>
        <w:tc>
          <w:tcPr>
            <w:tcW w:w="3299" w:type="dxa"/>
            <w:gridSpan w:val="3"/>
            <w:tcBorders>
              <w:top w:val="single" w:sz="4" w:space="0" w:color="auto"/>
              <w:left w:val="single" w:sz="4" w:space="0" w:color="auto"/>
              <w:bottom w:val="single" w:sz="4" w:space="0" w:color="auto"/>
              <w:right w:val="single" w:sz="4" w:space="0" w:color="auto"/>
            </w:tcBorders>
            <w:tcMar>
              <w:top w:w="60" w:type="dxa"/>
              <w:bottom w:w="60" w:type="dxa"/>
            </w:tcMar>
            <w:vAlign w:val="center"/>
          </w:tcPr>
          <w:p w:rsidR="00C41106" w:rsidRDefault="00C41106" w:rsidP="00C41106">
            <w:pPr>
              <w:keepNext/>
              <w:spacing w:after="0"/>
              <w:rPr>
                <w:rFonts w:cs="Arial"/>
              </w:rPr>
            </w:pPr>
            <w:r>
              <w:rPr>
                <w:rFonts w:cs="Arial"/>
              </w:rPr>
              <w:t>N/A</w:t>
            </w:r>
          </w:p>
        </w:tc>
      </w:tr>
      <w:tr w:rsidR="00C41106" w:rsidTr="00C41106">
        <w:tblPrEx>
          <w:tblBorders>
            <w:insideH w:val="single" w:sz="4" w:space="0" w:color="auto"/>
            <w:insideV w:val="single" w:sz="4" w:space="0" w:color="auto"/>
          </w:tblBorders>
        </w:tblPrEx>
        <w:trPr>
          <w:gridBefore w:val="1"/>
          <w:gridAfter w:val="1"/>
          <w:wBefore w:w="34" w:type="dxa"/>
          <w:wAfter w:w="586" w:type="dxa"/>
        </w:trPr>
        <w:tc>
          <w:tcPr>
            <w:tcW w:w="7075" w:type="dxa"/>
            <w:gridSpan w:val="4"/>
            <w:shd w:val="clear" w:color="auto" w:fill="F3F3F3"/>
            <w:tcMar>
              <w:top w:w="60" w:type="dxa"/>
              <w:bottom w:w="60" w:type="dxa"/>
            </w:tcMar>
          </w:tcPr>
          <w:p w:rsidR="00C41106" w:rsidRDefault="00C41106" w:rsidP="00C41106">
            <w:pPr>
              <w:pStyle w:val="StyleBoldBefore6ptAfter6pt"/>
              <w:keepNext/>
              <w:keepLines/>
              <w:spacing w:before="0" w:after="0"/>
            </w:pPr>
            <w:r>
              <w:t>Consent and Moderation Requirements (CMR) reference</w:t>
            </w:r>
          </w:p>
        </w:tc>
        <w:tc>
          <w:tcPr>
            <w:tcW w:w="2167" w:type="dxa"/>
            <w:tcMar>
              <w:top w:w="60" w:type="dxa"/>
              <w:bottom w:w="60" w:type="dxa"/>
            </w:tcMar>
            <w:vAlign w:val="center"/>
          </w:tcPr>
          <w:p w:rsidR="00C41106" w:rsidRDefault="00C41106" w:rsidP="00C41106">
            <w:pPr>
              <w:pStyle w:val="StyleBefore6ptAfter6pt"/>
              <w:keepNext/>
              <w:keepLines/>
              <w:spacing w:before="0" w:after="0"/>
            </w:pPr>
            <w:r>
              <w:t>0099</w:t>
            </w:r>
          </w:p>
        </w:tc>
      </w:tr>
    </w:tbl>
    <w:p w:rsidR="00C41106" w:rsidRDefault="00C41106" w:rsidP="00C41106">
      <w:pPr>
        <w:keepNext/>
        <w:keepLines/>
        <w:spacing w:after="0"/>
        <w:rPr>
          <w:rFonts w:cs="Arial"/>
        </w:rPr>
      </w:pPr>
      <w:r>
        <w:rPr>
          <w:rFonts w:cs="Arial"/>
        </w:rPr>
        <w:t xml:space="preserve">This CMR can be accessed at </w:t>
      </w:r>
      <w:hyperlink r:id="rId13" w:history="1">
        <w:r>
          <w:rPr>
            <w:rStyle w:val="Hyperlink"/>
          </w:rPr>
          <w:t>http://www.nzqa.govt.nz/framework/search/index.do</w:t>
        </w:r>
      </w:hyperlink>
      <w:r>
        <w:rPr>
          <w:rFonts w:cs="Arial"/>
        </w:rPr>
        <w:t>.</w:t>
      </w:r>
    </w:p>
    <w:p w:rsidR="00C41106" w:rsidRDefault="00C41106" w:rsidP="00C41106">
      <w:pPr>
        <w:keepNext/>
        <w:keepLines/>
        <w:spacing w:after="0"/>
        <w:rPr>
          <w:rFonts w:cs="Arial"/>
        </w:rPr>
      </w:pPr>
      <w:r>
        <w:rPr>
          <w:b/>
          <w:bCs/>
        </w:rPr>
        <w:t>Please note</w:t>
      </w:r>
    </w:p>
    <w:p w:rsidR="00C41106" w:rsidRDefault="00C41106" w:rsidP="00C41106">
      <w:pPr>
        <w:keepNext/>
        <w:keepLines/>
        <w:spacing w:after="0"/>
      </w:pPr>
      <w:r>
        <w:t>Providers must be granted consent to assess against standards (accredited) by NZQA, before they can report credits from assessment against unit standards or deliver courses of study leading to that assessment.</w:t>
      </w:r>
    </w:p>
    <w:p w:rsidR="00C41106" w:rsidRDefault="00C41106" w:rsidP="00C41106">
      <w:pPr>
        <w:spacing w:after="0"/>
      </w:pPr>
      <w:r>
        <w:t>Industry Training Organisations must be granted consent to assess against standards by NZQA before they can register credits from assessment against unit standards.</w:t>
      </w:r>
    </w:p>
    <w:p w:rsidR="00C41106" w:rsidRDefault="00C41106" w:rsidP="00C41106">
      <w:pPr>
        <w:spacing w:after="0"/>
      </w:pPr>
      <w:r>
        <w:t>Providers and Industry Training Organisations, which have been granted consent and which are assessing against unit standards must engage with the moderation system that applies to those standards.</w:t>
      </w:r>
    </w:p>
    <w:p w:rsidR="00C41106" w:rsidRDefault="00C41106" w:rsidP="00C41106">
      <w:pPr>
        <w:spacing w:after="0"/>
      </w:pPr>
      <w:r>
        <w:t>Requirements for consent to assess and an outline of the moderation system that applies to this standard are outlined in the Consent and Moderation Requirements (CMRs).  The CMR also includes useful information about special requirements for organisations wishing to develop education and training programmes, such as minimum qualifications for tutors and assessors, and special resource requirements.</w:t>
      </w:r>
    </w:p>
    <w:p w:rsidR="00C41106" w:rsidRDefault="00C41106" w:rsidP="00C41106">
      <w:pPr>
        <w:keepNext/>
        <w:keepLines/>
        <w:pBdr>
          <w:top w:val="single" w:sz="4" w:space="1" w:color="auto"/>
        </w:pBdr>
        <w:spacing w:after="0"/>
        <w:rPr>
          <w:b/>
          <w:bCs/>
        </w:rPr>
      </w:pPr>
      <w:r>
        <w:rPr>
          <w:b/>
          <w:bCs/>
        </w:rPr>
        <w:t>Comments on this unit standard</w:t>
      </w:r>
    </w:p>
    <w:p w:rsidR="00C41106" w:rsidRDefault="00C41106" w:rsidP="00C41106">
      <w:pPr>
        <w:keepNext/>
        <w:keepLines/>
        <w:spacing w:after="0"/>
      </w:pPr>
      <w:r>
        <w:t xml:space="preserve">Please contact Skills Active </w:t>
      </w:r>
      <w:proofErr w:type="spellStart"/>
      <w:r>
        <w:t>Aotearoa</w:t>
      </w:r>
      <w:proofErr w:type="spellEnd"/>
      <w:r>
        <w:t xml:space="preserve"> Limited </w:t>
      </w:r>
      <w:hyperlink r:id="rId14" w:history="1">
        <w:r>
          <w:rPr>
            <w:rStyle w:val="Hyperlink"/>
          </w:rPr>
          <w:t>info@skillsactive.org.nz</w:t>
        </w:r>
      </w:hyperlink>
      <w:r>
        <w:t xml:space="preserve"> if you wish to suggest changes to the content of this unit standard.</w:t>
      </w:r>
    </w:p>
    <w:p w:rsidR="00C41106" w:rsidRPr="001301E6" w:rsidRDefault="00C41106" w:rsidP="001301E6">
      <w:pPr>
        <w:tabs>
          <w:tab w:val="center" w:pos="4513"/>
        </w:tabs>
        <w:spacing w:after="0"/>
        <w:rPr>
          <w:rFonts w:cs="Times New Roman"/>
          <w:b/>
          <w:szCs w:val="24"/>
        </w:rPr>
      </w:pPr>
    </w:p>
    <w:sectPr w:rsidR="00C41106" w:rsidRPr="0013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1"/>
    <w:rsid w:val="001301E6"/>
    <w:rsid w:val="001A45B8"/>
    <w:rsid w:val="001F38BE"/>
    <w:rsid w:val="00565281"/>
    <w:rsid w:val="006D3827"/>
    <w:rsid w:val="00984208"/>
    <w:rsid w:val="00AD699A"/>
    <w:rsid w:val="00C41106"/>
    <w:rsid w:val="00E979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id">
    <w:name w:val="itemid"/>
    <w:basedOn w:val="DefaultParagraphFont"/>
    <w:rsid w:val="001301E6"/>
  </w:style>
  <w:style w:type="table" w:styleId="TableGrid">
    <w:name w:val="Table Grid"/>
    <w:basedOn w:val="TableNormal"/>
    <w:uiPriority w:val="59"/>
    <w:rsid w:val="0013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301E6"/>
    <w:rPr>
      <w:color w:val="0000FF"/>
      <w:u w:val="single"/>
    </w:rPr>
  </w:style>
  <w:style w:type="paragraph" w:customStyle="1" w:styleId="StyleLeft0cmHanging2cm">
    <w:name w:val="Style Left:  0 cm Hanging:  2 cm"/>
    <w:basedOn w:val="Normal"/>
    <w:rsid w:val="001301E6"/>
    <w:pPr>
      <w:tabs>
        <w:tab w:val="left" w:pos="1134"/>
        <w:tab w:val="left" w:pos="2552"/>
      </w:tabs>
      <w:spacing w:after="0" w:line="240" w:lineRule="auto"/>
      <w:ind w:left="1123" w:hanging="1123"/>
    </w:pPr>
    <w:rPr>
      <w:rFonts w:ascii="Arial" w:eastAsia="Times New Roman" w:hAnsi="Arial" w:cs="Times New Roman"/>
      <w:szCs w:val="20"/>
    </w:rPr>
  </w:style>
  <w:style w:type="paragraph" w:customStyle="1" w:styleId="StyleBefore6ptAfter6pt">
    <w:name w:val="Style Before:  6 pt After:  6 pt"/>
    <w:basedOn w:val="Normal"/>
    <w:rsid w:val="001301E6"/>
    <w:pPr>
      <w:spacing w:before="120" w:after="120" w:line="240" w:lineRule="auto"/>
    </w:pPr>
    <w:rPr>
      <w:rFonts w:ascii="Arial" w:eastAsia="Times New Roman" w:hAnsi="Arial" w:cs="Times New Roman"/>
      <w:szCs w:val="20"/>
    </w:rPr>
  </w:style>
  <w:style w:type="paragraph" w:customStyle="1" w:styleId="StyleBoldBefore6ptAfter6pt">
    <w:name w:val="Style Bold Before:  6 pt After:  6 pt"/>
    <w:basedOn w:val="Normal"/>
    <w:rsid w:val="001301E6"/>
    <w:pPr>
      <w:spacing w:before="120" w:after="120" w:line="240" w:lineRule="auto"/>
    </w:pPr>
    <w:rPr>
      <w:rFonts w:ascii="Arial" w:eastAsia="Times New Roman" w:hAnsi="Arial" w:cs="Times New Roman"/>
      <w:b/>
      <w:bCs/>
      <w:szCs w:val="20"/>
    </w:rPr>
  </w:style>
  <w:style w:type="character" w:customStyle="1" w:styleId="StyleBold">
    <w:name w:val="Style Bold"/>
    <w:basedOn w:val="DefaultParagraphFont"/>
    <w:rsid w:val="001301E6"/>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id">
    <w:name w:val="itemid"/>
    <w:basedOn w:val="DefaultParagraphFont"/>
    <w:rsid w:val="001301E6"/>
  </w:style>
  <w:style w:type="table" w:styleId="TableGrid">
    <w:name w:val="Table Grid"/>
    <w:basedOn w:val="TableNormal"/>
    <w:uiPriority w:val="59"/>
    <w:rsid w:val="0013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301E6"/>
    <w:rPr>
      <w:color w:val="0000FF"/>
      <w:u w:val="single"/>
    </w:rPr>
  </w:style>
  <w:style w:type="paragraph" w:customStyle="1" w:styleId="StyleLeft0cmHanging2cm">
    <w:name w:val="Style Left:  0 cm Hanging:  2 cm"/>
    <w:basedOn w:val="Normal"/>
    <w:rsid w:val="001301E6"/>
    <w:pPr>
      <w:tabs>
        <w:tab w:val="left" w:pos="1134"/>
        <w:tab w:val="left" w:pos="2552"/>
      </w:tabs>
      <w:spacing w:after="0" w:line="240" w:lineRule="auto"/>
      <w:ind w:left="1123" w:hanging="1123"/>
    </w:pPr>
    <w:rPr>
      <w:rFonts w:ascii="Arial" w:eastAsia="Times New Roman" w:hAnsi="Arial" w:cs="Times New Roman"/>
      <w:szCs w:val="20"/>
    </w:rPr>
  </w:style>
  <w:style w:type="paragraph" w:customStyle="1" w:styleId="StyleBefore6ptAfter6pt">
    <w:name w:val="Style Before:  6 pt After:  6 pt"/>
    <w:basedOn w:val="Normal"/>
    <w:rsid w:val="001301E6"/>
    <w:pPr>
      <w:spacing w:before="120" w:after="120" w:line="240" w:lineRule="auto"/>
    </w:pPr>
    <w:rPr>
      <w:rFonts w:ascii="Arial" w:eastAsia="Times New Roman" w:hAnsi="Arial" w:cs="Times New Roman"/>
      <w:szCs w:val="20"/>
    </w:rPr>
  </w:style>
  <w:style w:type="paragraph" w:customStyle="1" w:styleId="StyleBoldBefore6ptAfter6pt">
    <w:name w:val="Style Bold Before:  6 pt After:  6 pt"/>
    <w:basedOn w:val="Normal"/>
    <w:rsid w:val="001301E6"/>
    <w:pPr>
      <w:spacing w:before="120" w:after="120" w:line="240" w:lineRule="auto"/>
    </w:pPr>
    <w:rPr>
      <w:rFonts w:ascii="Arial" w:eastAsia="Times New Roman" w:hAnsi="Arial" w:cs="Times New Roman"/>
      <w:b/>
      <w:bCs/>
      <w:szCs w:val="20"/>
    </w:rPr>
  </w:style>
  <w:style w:type="character" w:customStyle="1" w:styleId="StyleBold">
    <w:name w:val="Style Bold"/>
    <w:basedOn w:val="DefaultParagraphFont"/>
    <w:rsid w:val="001301E6"/>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4892">
      <w:bodyDiv w:val="1"/>
      <w:marLeft w:val="0"/>
      <w:marRight w:val="0"/>
      <w:marTop w:val="0"/>
      <w:marBottom w:val="0"/>
      <w:divBdr>
        <w:top w:val="none" w:sz="0" w:space="0" w:color="auto"/>
        <w:left w:val="none" w:sz="0" w:space="0" w:color="auto"/>
        <w:bottom w:val="none" w:sz="0" w:space="0" w:color="auto"/>
        <w:right w:val="none" w:sz="0" w:space="0" w:color="auto"/>
      </w:divBdr>
    </w:div>
    <w:div w:id="7770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framework/search/index.do" TargetMode="External"/><Relationship Id="rId13" Type="http://schemas.openxmlformats.org/officeDocument/2006/relationships/hyperlink" Target="http://www.nzqa.govt.nz/framework/search/index.do" TargetMode="External"/><Relationship Id="rId3" Type="http://schemas.openxmlformats.org/officeDocument/2006/relationships/settings" Target="settings.xml"/><Relationship Id="rId7" Type="http://schemas.openxmlformats.org/officeDocument/2006/relationships/hyperlink" Target="mailto:info@skillsactive.org.nz" TargetMode="External"/><Relationship Id="rId12" Type="http://schemas.openxmlformats.org/officeDocument/2006/relationships/hyperlink" Target="http://www.sparc.org.nz/en-nz/communities-and-clubs/Coaching/Coach-Development--Education/Framework-programme-materials/Coach-Development-Modules---Learning-Resources-and-Material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rugfreesport.org.nz" TargetMode="External"/><Relationship Id="rId11" Type="http://schemas.openxmlformats.org/officeDocument/2006/relationships/hyperlink" Target="http://www.sparc.org.nz/en-nz/communities-and-clubs/Coaching/Coach-Development--Education/Coach-Development-Framework1/" TargetMode="External"/><Relationship Id="rId5" Type="http://schemas.openxmlformats.org/officeDocument/2006/relationships/hyperlink" Target="http://www.sparc.org.nz/en-nz/communities-and-clubs/Toolkit-for-Officials/Learning-Areas/" TargetMode="External"/><Relationship Id="rId15" Type="http://schemas.openxmlformats.org/officeDocument/2006/relationships/fontTable" Target="fontTable.xml"/><Relationship Id="rId10" Type="http://schemas.openxmlformats.org/officeDocument/2006/relationships/hyperlink" Target="http://www.sparc.org.nz/en-nz/Search/?q=developing+coaching+learning+outcomes" TargetMode="External"/><Relationship Id="rId4" Type="http://schemas.openxmlformats.org/officeDocument/2006/relationships/webSettings" Target="webSettings.xml"/><Relationship Id="rId9" Type="http://schemas.openxmlformats.org/officeDocument/2006/relationships/hyperlink" Target="http://www.acc.co.nz/sportsmart" TargetMode="External"/><Relationship Id="rId14" Type="http://schemas.openxmlformats.org/officeDocument/2006/relationships/hyperlink" Target="mailto:info@skillsactiv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Educator</cp:lastModifiedBy>
  <cp:revision>11</cp:revision>
  <dcterms:created xsi:type="dcterms:W3CDTF">2012-03-28T00:21:00Z</dcterms:created>
  <dcterms:modified xsi:type="dcterms:W3CDTF">2012-05-20T21:49:00Z</dcterms:modified>
</cp:coreProperties>
</file>